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5EB4F" w14:textId="77777777" w:rsidR="00212E4E" w:rsidRPr="007F158D" w:rsidRDefault="00212E4E" w:rsidP="00212E4E">
      <w:pPr>
        <w:pStyle w:val="normal0"/>
        <w:rPr>
          <w:rFonts w:asciiTheme="majorHAnsi" w:eastAsia="Calibri" w:hAnsiTheme="majorHAnsi" w:cs="Calibri"/>
          <w:b/>
          <w:sz w:val="28"/>
          <w:szCs w:val="28"/>
        </w:rPr>
      </w:pPr>
      <w:bookmarkStart w:id="0" w:name="_GoBack"/>
      <w:bookmarkEnd w:id="0"/>
      <w:r w:rsidRPr="007F158D">
        <w:rPr>
          <w:rFonts w:asciiTheme="majorHAnsi" w:eastAsia="Calibri" w:hAnsiTheme="majorHAnsi" w:cs="Calibri"/>
          <w:b/>
          <w:sz w:val="28"/>
          <w:szCs w:val="28"/>
        </w:rPr>
        <w:t>Supplementary File 2: Further description of CARE data and parameter estimation</w:t>
      </w:r>
    </w:p>
    <w:p w14:paraId="7E01141B" w14:textId="77777777" w:rsidR="00212E4E" w:rsidRPr="007F158D" w:rsidRDefault="00212E4E" w:rsidP="00212E4E">
      <w:pPr>
        <w:pStyle w:val="normal0"/>
        <w:rPr>
          <w:rFonts w:asciiTheme="majorHAnsi" w:eastAsia="Calibri" w:hAnsiTheme="majorHAnsi" w:cs="Calibri"/>
          <w:u w:val="single"/>
        </w:rPr>
      </w:pPr>
    </w:p>
    <w:p w14:paraId="0A6D4AEB" w14:textId="2C50C8E2" w:rsidR="00212E4E" w:rsidRPr="007F158D" w:rsidRDefault="00212E4E" w:rsidP="00212E4E">
      <w:pPr>
        <w:pStyle w:val="normal0"/>
        <w:rPr>
          <w:rFonts w:asciiTheme="majorHAnsi" w:eastAsia="Calibri" w:hAnsiTheme="majorHAnsi" w:cs="Calibri"/>
        </w:rPr>
      </w:pPr>
      <w:r w:rsidRPr="007F158D">
        <w:rPr>
          <w:rFonts w:asciiTheme="majorHAnsi" w:eastAsia="Calibri" w:hAnsiTheme="majorHAnsi" w:cs="Calibri"/>
          <w:u w:val="single"/>
        </w:rPr>
        <w:t xml:space="preserve">Spatial, seasonal and annual variation in </w:t>
      </w:r>
      <w:r w:rsidR="00E139CC" w:rsidRPr="007F158D">
        <w:rPr>
          <w:rFonts w:asciiTheme="majorHAnsi" w:eastAsia="Calibri" w:hAnsiTheme="majorHAnsi" w:cs="Calibri"/>
          <w:u w:val="single"/>
        </w:rPr>
        <w:t xml:space="preserve">identified </w:t>
      </w:r>
      <w:r w:rsidRPr="007F158D">
        <w:rPr>
          <w:rFonts w:asciiTheme="majorHAnsi" w:eastAsia="Calibri" w:hAnsiTheme="majorHAnsi" w:cs="Calibri"/>
          <w:u w:val="single"/>
        </w:rPr>
        <w:t xml:space="preserve">VL </w:t>
      </w:r>
      <w:r w:rsidR="00E139CC" w:rsidRPr="007F158D">
        <w:rPr>
          <w:rFonts w:asciiTheme="majorHAnsi" w:eastAsia="Calibri" w:hAnsiTheme="majorHAnsi" w:cs="Calibri"/>
          <w:u w:val="single"/>
        </w:rPr>
        <w:t>case numbers</w:t>
      </w:r>
      <w:r w:rsidRPr="007F158D">
        <w:rPr>
          <w:rFonts w:asciiTheme="majorHAnsi" w:eastAsia="Calibri" w:hAnsiTheme="majorHAnsi" w:cs="Calibri"/>
        </w:rPr>
        <w:br/>
        <w:t xml:space="preserve">The </w:t>
      </w:r>
      <w:r w:rsidR="00137906" w:rsidRPr="007F158D">
        <w:rPr>
          <w:rFonts w:asciiTheme="majorHAnsi" w:eastAsia="Calibri" w:hAnsiTheme="majorHAnsi" w:cs="Calibri"/>
        </w:rPr>
        <w:t>burdens</w:t>
      </w:r>
      <w:r w:rsidR="00E067A0" w:rsidRPr="007F158D">
        <w:rPr>
          <w:rFonts w:asciiTheme="majorHAnsi" w:eastAsia="Calibri" w:hAnsiTheme="majorHAnsi" w:cs="Calibri"/>
        </w:rPr>
        <w:t xml:space="preserve"> of</w:t>
      </w:r>
      <w:r w:rsidR="00286AFD" w:rsidRPr="007F158D">
        <w:rPr>
          <w:rFonts w:asciiTheme="majorHAnsi" w:eastAsia="Calibri" w:hAnsiTheme="majorHAnsi" w:cs="Calibri"/>
        </w:rPr>
        <w:t xml:space="preserve"> </w:t>
      </w:r>
      <w:r w:rsidR="00E139CC" w:rsidRPr="007F158D">
        <w:rPr>
          <w:rFonts w:asciiTheme="majorHAnsi" w:eastAsia="Calibri" w:hAnsiTheme="majorHAnsi" w:cs="Calibri"/>
        </w:rPr>
        <w:t xml:space="preserve">identified </w:t>
      </w:r>
      <w:r w:rsidRPr="007F158D">
        <w:rPr>
          <w:rFonts w:asciiTheme="majorHAnsi" w:eastAsia="Calibri" w:hAnsiTheme="majorHAnsi" w:cs="Calibri"/>
        </w:rPr>
        <w:t xml:space="preserve">VL </w:t>
      </w:r>
      <w:r w:rsidR="00E139CC" w:rsidRPr="007F158D">
        <w:rPr>
          <w:rFonts w:asciiTheme="majorHAnsi" w:eastAsia="Calibri" w:hAnsiTheme="majorHAnsi" w:cs="Calibri"/>
        </w:rPr>
        <w:t>case</w:t>
      </w:r>
      <w:r w:rsidR="00E067A0" w:rsidRPr="007F158D">
        <w:rPr>
          <w:rFonts w:asciiTheme="majorHAnsi" w:eastAsia="Calibri" w:hAnsiTheme="majorHAnsi" w:cs="Calibri"/>
        </w:rPr>
        <w:t>s</w:t>
      </w:r>
      <w:r w:rsidR="00E139CC" w:rsidRPr="007F158D">
        <w:rPr>
          <w:rFonts w:asciiTheme="majorHAnsi" w:eastAsia="Calibri" w:hAnsiTheme="majorHAnsi" w:cs="Calibri"/>
        </w:rPr>
        <w:t xml:space="preserve"> </w:t>
      </w:r>
      <w:r w:rsidR="00E067A0" w:rsidRPr="007F158D">
        <w:rPr>
          <w:rFonts w:asciiTheme="majorHAnsi" w:eastAsia="Calibri" w:hAnsiTheme="majorHAnsi" w:cs="Calibri"/>
        </w:rPr>
        <w:t>in 2012</w:t>
      </w:r>
      <w:r w:rsidR="00137906" w:rsidRPr="007F158D">
        <w:rPr>
          <w:rFonts w:asciiTheme="majorHAnsi" w:eastAsia="Calibri" w:hAnsiTheme="majorHAnsi" w:cs="Calibri"/>
        </w:rPr>
        <w:t xml:space="preserve"> in</w:t>
      </w:r>
      <w:r w:rsidRPr="007F158D">
        <w:rPr>
          <w:rFonts w:asciiTheme="majorHAnsi" w:eastAsia="Calibri" w:hAnsiTheme="majorHAnsi" w:cs="Calibri"/>
        </w:rPr>
        <w:t xml:space="preserve"> </w:t>
      </w:r>
      <w:r w:rsidR="00286AFD" w:rsidRPr="007F158D">
        <w:rPr>
          <w:rFonts w:asciiTheme="majorHAnsi" w:eastAsia="Calibri" w:hAnsiTheme="majorHAnsi" w:cs="Calibri"/>
        </w:rPr>
        <w:t>the 8</w:t>
      </w:r>
      <w:r w:rsidRPr="007F158D">
        <w:rPr>
          <w:rFonts w:asciiTheme="majorHAnsi" w:eastAsia="Calibri" w:hAnsiTheme="majorHAnsi" w:cs="Calibri"/>
        </w:rPr>
        <w:t xml:space="preserve"> district</w:t>
      </w:r>
      <w:r w:rsidR="00286AFD" w:rsidRPr="007F158D">
        <w:rPr>
          <w:rFonts w:asciiTheme="majorHAnsi" w:eastAsia="Calibri" w:hAnsiTheme="majorHAnsi" w:cs="Calibri"/>
        </w:rPr>
        <w:t>s in the CARE dataset</w:t>
      </w:r>
      <w:r w:rsidRPr="007F158D">
        <w:rPr>
          <w:rFonts w:asciiTheme="majorHAnsi" w:eastAsia="Calibri" w:hAnsiTheme="majorHAnsi" w:cs="Calibri"/>
        </w:rPr>
        <w:t xml:space="preserve"> are given in</w:t>
      </w:r>
      <w:r w:rsidR="002F6E3B" w:rsidRPr="007F158D">
        <w:rPr>
          <w:rFonts w:asciiTheme="majorHAnsi" w:eastAsia="Calibri" w:hAnsiTheme="majorHAnsi" w:cs="Calibri"/>
        </w:rPr>
        <w:t xml:space="preserve"> </w:t>
      </w:r>
      <w:r w:rsidR="00936FEA" w:rsidRPr="007F158D">
        <w:rPr>
          <w:rFonts w:asciiTheme="majorHAnsi" w:eastAsia="Calibri" w:hAnsiTheme="majorHAnsi" w:cs="Calibri"/>
        </w:rPr>
        <w:fldChar w:fldCharType="begin"/>
      </w:r>
      <w:r w:rsidR="00936FEA" w:rsidRPr="007F158D">
        <w:rPr>
          <w:rFonts w:asciiTheme="majorHAnsi" w:eastAsia="Calibri" w:hAnsiTheme="majorHAnsi" w:cs="Calibri"/>
        </w:rPr>
        <w:instrText xml:space="preserve"> REF _Ref336076119 \h </w:instrText>
      </w:r>
      <w:r w:rsidR="00936FEA" w:rsidRPr="007F158D">
        <w:rPr>
          <w:rFonts w:asciiTheme="majorHAnsi" w:eastAsia="Calibri" w:hAnsiTheme="majorHAnsi" w:cs="Calibri"/>
        </w:rPr>
      </w:r>
      <w:r w:rsidR="00936FEA" w:rsidRPr="007F158D">
        <w:rPr>
          <w:rFonts w:asciiTheme="majorHAnsi" w:eastAsia="Calibri" w:hAnsiTheme="majorHAnsi" w:cs="Calibri"/>
        </w:rPr>
        <w:fldChar w:fldCharType="separate"/>
      </w:r>
      <w:r w:rsidR="00936FEA" w:rsidRPr="007F158D">
        <w:rPr>
          <w:rFonts w:asciiTheme="majorHAnsi" w:hAnsiTheme="majorHAnsi"/>
          <w:color w:val="000000" w:themeColor="text1"/>
        </w:rPr>
        <w:t xml:space="preserve">Table </w:t>
      </w:r>
      <w:r w:rsidR="000A2073">
        <w:rPr>
          <w:rFonts w:asciiTheme="majorHAnsi" w:hAnsiTheme="majorHAnsi"/>
          <w:color w:val="000000" w:themeColor="text1"/>
        </w:rPr>
        <w:t>S</w:t>
      </w:r>
      <w:r w:rsidR="00936FEA" w:rsidRPr="007F158D">
        <w:rPr>
          <w:rFonts w:asciiTheme="majorHAnsi" w:hAnsiTheme="majorHAnsi"/>
          <w:noProof/>
          <w:color w:val="000000" w:themeColor="text1"/>
        </w:rPr>
        <w:t>1</w:t>
      </w:r>
      <w:r w:rsidR="00936FEA" w:rsidRPr="007F158D">
        <w:rPr>
          <w:rFonts w:asciiTheme="majorHAnsi" w:eastAsia="Calibri" w:hAnsiTheme="majorHAnsi" w:cs="Calibri"/>
        </w:rPr>
        <w:fldChar w:fldCharType="end"/>
      </w:r>
      <w:r w:rsidRPr="007F158D">
        <w:rPr>
          <w:rFonts w:asciiTheme="majorHAnsi" w:hAnsiTheme="majorHAnsi"/>
        </w:rPr>
        <w:t xml:space="preserve">. These </w:t>
      </w:r>
      <w:r w:rsidRPr="007F158D">
        <w:rPr>
          <w:rFonts w:asciiTheme="majorHAnsi" w:eastAsia="Calibri" w:hAnsiTheme="majorHAnsi" w:cs="Calibri"/>
        </w:rPr>
        <w:t xml:space="preserve">have been calculated from the data by dividing the number of </w:t>
      </w:r>
      <w:r w:rsidR="00137906" w:rsidRPr="007F158D">
        <w:rPr>
          <w:rFonts w:asciiTheme="majorHAnsi" w:eastAsia="Calibri" w:hAnsiTheme="majorHAnsi" w:cs="Calibri"/>
        </w:rPr>
        <w:t xml:space="preserve">identified </w:t>
      </w:r>
      <w:r w:rsidRPr="007F158D">
        <w:rPr>
          <w:rFonts w:asciiTheme="majorHAnsi" w:eastAsia="Calibri" w:hAnsiTheme="majorHAnsi" w:cs="Calibri"/>
        </w:rPr>
        <w:t xml:space="preserve">cases in each district by the total population of </w:t>
      </w:r>
      <w:r w:rsidR="00137906" w:rsidRPr="007F158D">
        <w:rPr>
          <w:rFonts w:asciiTheme="majorHAnsi" w:eastAsia="Calibri" w:hAnsiTheme="majorHAnsi" w:cs="Calibri"/>
        </w:rPr>
        <w:t xml:space="preserve">its </w:t>
      </w:r>
      <w:r w:rsidRPr="007F158D">
        <w:rPr>
          <w:rFonts w:asciiTheme="majorHAnsi" w:eastAsia="Calibri" w:hAnsiTheme="majorHAnsi" w:cs="Calibri"/>
          <w:i/>
        </w:rPr>
        <w:t>sub-</w:t>
      </w:r>
      <w:r w:rsidR="00C31D5E" w:rsidRPr="007F158D">
        <w:rPr>
          <w:rFonts w:asciiTheme="majorHAnsi" w:eastAsia="Calibri" w:hAnsiTheme="majorHAnsi" w:cs="Calibri"/>
          <w:i/>
        </w:rPr>
        <w:t>districts</w:t>
      </w:r>
      <w:r w:rsidR="00C31D5E" w:rsidRPr="007F158D">
        <w:rPr>
          <w:rFonts w:asciiTheme="majorHAnsi" w:eastAsia="Calibri" w:hAnsiTheme="majorHAnsi" w:cs="Calibri"/>
        </w:rPr>
        <w:t xml:space="preserve"> that had</w:t>
      </w:r>
      <w:r w:rsidRPr="007F158D">
        <w:rPr>
          <w:rFonts w:asciiTheme="majorHAnsi" w:eastAsia="Calibri" w:hAnsiTheme="majorHAnsi" w:cs="Calibri"/>
        </w:rPr>
        <w:t xml:space="preserve"> at least 1 case between January 2012 and June 2013. The sub-district populations are taken from the 2011 Census of India and population growth has been taken into account using the average yearly percentage population growth per district, derived from the change in the district populations between the 2001 and 2011 censuses </w:t>
      </w:r>
      <w:r w:rsidR="00936FEA" w:rsidRPr="007F158D">
        <w:rPr>
          <w:rFonts w:asciiTheme="majorHAnsi" w:eastAsia="Calibri" w:hAnsiTheme="majorHAnsi" w:cs="Calibri"/>
        </w:rPr>
        <w:fldChar w:fldCharType="begin" w:fldLock="1"/>
      </w:r>
      <w:r w:rsidR="0086786C" w:rsidRPr="007F158D">
        <w:rPr>
          <w:rFonts w:asciiTheme="majorHAnsi" w:eastAsia="Calibri" w:hAnsiTheme="majorHAnsi" w:cs="Calibri"/>
        </w:rPr>
        <w:instrText>ADDIN CSL_CITATION { "citationItems" : [ { "id" : "ITEM-1", "itemData" : { "author" : [ { "dropping-particle" : "", "family" : "Ministry of Health and Family Welfare", "given" : "Government of India", "non-dropping-particle" : "", "parse-names" : false, "suffix" : "" } ], "id" : "ITEM-1", "issued" : { "date-parts" : [ [ "2011" ] ] }, "page" : "306", "title" : "Family Welfare Statistics in India", "type" : "article-journal" }, "uris" : [ "http://www.mendeley.com/documents/?uuid=0672d283-42a8-4c8c-92bd-d19d4e08001a" ] } ], "mendeley" : { "formattedCitation" : "(1)", "plainTextFormattedCitation" : "(1)", "previouslyFormattedCitation" : "(1)" }, "properties" : { "noteIndex" : 0 }, "schema" : "https://github.com/citation-style-language/schema/raw/master/csl-citation.json" }</w:instrText>
      </w:r>
      <w:r w:rsidR="00936FEA" w:rsidRPr="007F158D">
        <w:rPr>
          <w:rFonts w:asciiTheme="majorHAnsi" w:eastAsia="Calibri" w:hAnsiTheme="majorHAnsi" w:cs="Calibri"/>
        </w:rPr>
        <w:fldChar w:fldCharType="separate"/>
      </w:r>
      <w:r w:rsidR="00936FEA" w:rsidRPr="007F158D">
        <w:rPr>
          <w:rFonts w:asciiTheme="majorHAnsi" w:eastAsia="Calibri" w:hAnsiTheme="majorHAnsi" w:cs="Calibri"/>
          <w:noProof/>
        </w:rPr>
        <w:t>(1)</w:t>
      </w:r>
      <w:r w:rsidR="00936FEA" w:rsidRPr="007F158D">
        <w:rPr>
          <w:rFonts w:asciiTheme="majorHAnsi" w:eastAsia="Calibri" w:hAnsiTheme="majorHAnsi" w:cs="Calibri"/>
        </w:rPr>
        <w:fldChar w:fldCharType="end"/>
      </w:r>
      <w:r w:rsidRPr="007F158D">
        <w:rPr>
          <w:rFonts w:asciiTheme="majorHAnsi" w:eastAsia="Calibri" w:hAnsiTheme="majorHAnsi" w:cs="Calibri"/>
        </w:rPr>
        <w:t xml:space="preserve">. </w:t>
      </w:r>
      <w:r w:rsidR="00137906" w:rsidRPr="007F158D">
        <w:rPr>
          <w:rFonts w:asciiTheme="majorHAnsi" w:eastAsia="Calibri" w:hAnsiTheme="majorHAnsi" w:cs="Calibri"/>
        </w:rPr>
        <w:t xml:space="preserve">The identified </w:t>
      </w:r>
      <w:r w:rsidR="002D4002" w:rsidRPr="007F158D">
        <w:rPr>
          <w:rFonts w:asciiTheme="majorHAnsi" w:eastAsia="Calibri" w:hAnsiTheme="majorHAnsi" w:cs="Calibri"/>
        </w:rPr>
        <w:t xml:space="preserve">VL </w:t>
      </w:r>
      <w:r w:rsidR="00137906" w:rsidRPr="007F158D">
        <w:rPr>
          <w:rFonts w:asciiTheme="majorHAnsi" w:eastAsia="Calibri" w:hAnsiTheme="majorHAnsi" w:cs="Calibri"/>
        </w:rPr>
        <w:t>case burden</w:t>
      </w:r>
      <w:r w:rsidR="002D4002" w:rsidRPr="007F158D">
        <w:rPr>
          <w:rFonts w:asciiTheme="majorHAnsi" w:eastAsia="Calibri" w:hAnsiTheme="majorHAnsi" w:cs="Calibri"/>
        </w:rPr>
        <w:t xml:space="preserve"> in 2012</w:t>
      </w:r>
      <w:r w:rsidR="00137906" w:rsidRPr="007F158D">
        <w:rPr>
          <w:rFonts w:asciiTheme="majorHAnsi" w:eastAsia="Calibri" w:hAnsiTheme="majorHAnsi" w:cs="Calibri"/>
        </w:rPr>
        <w:t xml:space="preserve"> </w:t>
      </w:r>
      <w:r w:rsidRPr="007F158D">
        <w:rPr>
          <w:rFonts w:asciiTheme="majorHAnsi" w:eastAsia="Calibri" w:hAnsiTheme="majorHAnsi" w:cs="Calibri"/>
        </w:rPr>
        <w:t>varied significantly</w:t>
      </w:r>
      <w:r w:rsidR="00D07DBC" w:rsidRPr="007F158D">
        <w:rPr>
          <w:rFonts w:asciiTheme="majorHAnsi" w:eastAsia="Calibri" w:hAnsiTheme="majorHAnsi" w:cs="Calibri"/>
        </w:rPr>
        <w:t xml:space="preserve"> by district, ranging from 0.29 cases per 10,000 capita per </w:t>
      </w:r>
      <w:r w:rsidRPr="007F158D">
        <w:rPr>
          <w:rFonts w:asciiTheme="majorHAnsi" w:eastAsia="Calibri" w:hAnsiTheme="majorHAnsi" w:cs="Calibri"/>
        </w:rPr>
        <w:t>y</w:t>
      </w:r>
      <w:r w:rsidR="00D07DBC" w:rsidRPr="007F158D">
        <w:rPr>
          <w:rFonts w:asciiTheme="majorHAnsi" w:eastAsia="Calibri" w:hAnsiTheme="majorHAnsi" w:cs="Calibri"/>
        </w:rPr>
        <w:t>ea</w:t>
      </w:r>
      <w:r w:rsidRPr="007F158D">
        <w:rPr>
          <w:rFonts w:asciiTheme="majorHAnsi" w:eastAsia="Calibri" w:hAnsiTheme="majorHAnsi" w:cs="Calibri"/>
        </w:rPr>
        <w:t xml:space="preserve">r for West </w:t>
      </w:r>
      <w:proofErr w:type="spellStart"/>
      <w:r w:rsidRPr="007F158D">
        <w:rPr>
          <w:rFonts w:asciiTheme="majorHAnsi" w:eastAsia="Calibri" w:hAnsiTheme="majorHAnsi" w:cs="Calibri"/>
        </w:rPr>
        <w:t>Champa</w:t>
      </w:r>
      <w:r w:rsidR="00D07DBC" w:rsidRPr="007F158D">
        <w:rPr>
          <w:rFonts w:asciiTheme="majorHAnsi" w:eastAsia="Calibri" w:hAnsiTheme="majorHAnsi" w:cs="Calibri"/>
        </w:rPr>
        <w:t>ran</w:t>
      </w:r>
      <w:proofErr w:type="spellEnd"/>
      <w:r w:rsidR="00D07DBC" w:rsidRPr="007F158D">
        <w:rPr>
          <w:rFonts w:asciiTheme="majorHAnsi" w:eastAsia="Calibri" w:hAnsiTheme="majorHAnsi" w:cs="Calibri"/>
        </w:rPr>
        <w:t xml:space="preserve"> to 5.03</w:t>
      </w:r>
      <w:r w:rsidR="002D4002" w:rsidRPr="007F158D">
        <w:rPr>
          <w:rFonts w:asciiTheme="majorHAnsi" w:eastAsia="Calibri" w:hAnsiTheme="majorHAnsi" w:cs="Calibri"/>
        </w:rPr>
        <w:t>/</w:t>
      </w:r>
      <w:r w:rsidR="00D07DBC" w:rsidRPr="007F158D">
        <w:rPr>
          <w:rFonts w:asciiTheme="majorHAnsi" w:eastAsia="Calibri" w:hAnsiTheme="majorHAnsi" w:cs="Calibri"/>
        </w:rPr>
        <w:t>10,000</w:t>
      </w:r>
      <w:r w:rsidR="002D4002" w:rsidRPr="007F158D">
        <w:rPr>
          <w:rFonts w:asciiTheme="majorHAnsi" w:eastAsia="Calibri" w:hAnsiTheme="majorHAnsi" w:cs="Calibri"/>
        </w:rPr>
        <w:t>/</w:t>
      </w:r>
      <w:r w:rsidRPr="007F158D">
        <w:rPr>
          <w:rFonts w:asciiTheme="majorHAnsi" w:eastAsia="Calibri" w:hAnsiTheme="majorHAnsi" w:cs="Calibri"/>
        </w:rPr>
        <w:t>y</w:t>
      </w:r>
      <w:r w:rsidR="00D07DBC" w:rsidRPr="007F158D">
        <w:rPr>
          <w:rFonts w:asciiTheme="majorHAnsi" w:eastAsia="Calibri" w:hAnsiTheme="majorHAnsi" w:cs="Calibri"/>
        </w:rPr>
        <w:t>ea</w:t>
      </w:r>
      <w:r w:rsidRPr="007F158D">
        <w:rPr>
          <w:rFonts w:asciiTheme="majorHAnsi" w:eastAsia="Calibri" w:hAnsiTheme="majorHAnsi" w:cs="Calibri"/>
        </w:rPr>
        <w:t xml:space="preserve">r for </w:t>
      </w:r>
      <w:proofErr w:type="spellStart"/>
      <w:r w:rsidRPr="007F158D">
        <w:rPr>
          <w:rFonts w:asciiTheme="majorHAnsi" w:eastAsia="Calibri" w:hAnsiTheme="majorHAnsi" w:cs="Calibri"/>
        </w:rPr>
        <w:t>Saharsa</w:t>
      </w:r>
      <w:proofErr w:type="spellEnd"/>
      <w:r w:rsidRPr="007F158D">
        <w:rPr>
          <w:rFonts w:asciiTheme="majorHAnsi" w:eastAsia="Calibri" w:hAnsiTheme="majorHAnsi" w:cs="Calibri"/>
        </w:rPr>
        <w:t>, though for most d</w:t>
      </w:r>
      <w:r w:rsidR="00D07DBC" w:rsidRPr="007F158D">
        <w:rPr>
          <w:rFonts w:asciiTheme="majorHAnsi" w:eastAsia="Calibri" w:hAnsiTheme="majorHAnsi" w:cs="Calibri"/>
        </w:rPr>
        <w:t>istricts it was between 1 and 2 cases per 10,000</w:t>
      </w:r>
      <w:r w:rsidR="002D4002" w:rsidRPr="007F158D">
        <w:rPr>
          <w:rFonts w:asciiTheme="majorHAnsi" w:eastAsia="Calibri" w:hAnsiTheme="majorHAnsi" w:cs="Calibri"/>
        </w:rPr>
        <w:t>/</w:t>
      </w:r>
      <w:r w:rsidR="00D07DBC" w:rsidRPr="007F158D">
        <w:rPr>
          <w:rFonts w:asciiTheme="majorHAnsi" w:eastAsia="Calibri" w:hAnsiTheme="majorHAnsi" w:cs="Calibri"/>
        </w:rPr>
        <w:t>year</w:t>
      </w:r>
      <w:r w:rsidRPr="007F158D">
        <w:rPr>
          <w:rFonts w:asciiTheme="majorHAnsi" w:eastAsia="Calibri" w:hAnsiTheme="majorHAnsi" w:cs="Calibri"/>
        </w:rPr>
        <w:t xml:space="preserve">. </w:t>
      </w:r>
      <w:r w:rsidR="00C35AE5">
        <w:rPr>
          <w:rFonts w:asciiTheme="majorHAnsi" w:eastAsia="Calibri" w:hAnsiTheme="majorHAnsi" w:cs="Calibri"/>
        </w:rPr>
        <w:fldChar w:fldCharType="begin"/>
      </w:r>
      <w:r w:rsidR="00C35AE5">
        <w:rPr>
          <w:rFonts w:asciiTheme="majorHAnsi" w:eastAsia="Calibri" w:hAnsiTheme="majorHAnsi" w:cs="Calibri"/>
        </w:rPr>
        <w:instrText xml:space="preserve"> REF _Ref344536340 \h </w:instrText>
      </w:r>
      <w:r w:rsidR="00C35AE5">
        <w:rPr>
          <w:rFonts w:asciiTheme="majorHAnsi" w:eastAsia="Calibri" w:hAnsiTheme="majorHAnsi" w:cs="Calibri"/>
        </w:rPr>
      </w:r>
      <w:r w:rsidR="00C35AE5">
        <w:rPr>
          <w:rFonts w:asciiTheme="majorHAnsi" w:eastAsia="Calibri" w:hAnsiTheme="majorHAnsi" w:cs="Calibri"/>
        </w:rPr>
        <w:fldChar w:fldCharType="separate"/>
      </w:r>
      <w:r w:rsidR="00C35AE5" w:rsidRPr="007F158D">
        <w:rPr>
          <w:rFonts w:asciiTheme="majorHAnsi" w:hAnsiTheme="majorHAnsi"/>
          <w:color w:val="auto"/>
        </w:rPr>
        <w:t xml:space="preserve">Figure </w:t>
      </w:r>
      <w:r w:rsidR="00C35AE5">
        <w:rPr>
          <w:rFonts w:asciiTheme="majorHAnsi" w:hAnsiTheme="majorHAnsi"/>
          <w:color w:val="auto"/>
        </w:rPr>
        <w:t>S</w:t>
      </w:r>
      <w:r w:rsidR="00C35AE5">
        <w:rPr>
          <w:rFonts w:asciiTheme="majorHAnsi" w:hAnsiTheme="majorHAnsi"/>
          <w:noProof/>
          <w:color w:val="auto"/>
        </w:rPr>
        <w:t>1</w:t>
      </w:r>
      <w:r w:rsidR="00C35AE5">
        <w:rPr>
          <w:rFonts w:asciiTheme="majorHAnsi" w:eastAsia="Calibri" w:hAnsiTheme="majorHAnsi" w:cs="Calibri"/>
        </w:rPr>
        <w:fldChar w:fldCharType="end"/>
      </w:r>
      <w:r w:rsidR="0086786C" w:rsidRPr="007F158D">
        <w:rPr>
          <w:rFonts w:asciiTheme="majorHAnsi" w:eastAsia="Calibri" w:hAnsiTheme="majorHAnsi" w:cs="Calibri"/>
        </w:rPr>
        <w:t xml:space="preserve"> </w:t>
      </w:r>
      <w:r w:rsidRPr="007F158D">
        <w:rPr>
          <w:rFonts w:asciiTheme="majorHAnsi" w:eastAsia="Calibri" w:hAnsiTheme="majorHAnsi" w:cs="Calibri"/>
        </w:rPr>
        <w:t xml:space="preserve">shows the monthly numbers of onsets of VL symptoms from January 2012 to June 2013 for each of the 8 districts. There is clear seasonal variation in </w:t>
      </w:r>
      <w:r w:rsidR="002D4002" w:rsidRPr="007F158D">
        <w:rPr>
          <w:rFonts w:asciiTheme="majorHAnsi" w:eastAsia="Calibri" w:hAnsiTheme="majorHAnsi" w:cs="Calibri"/>
        </w:rPr>
        <w:t xml:space="preserve">the numbers of cases </w:t>
      </w:r>
      <w:r w:rsidRPr="007F158D">
        <w:rPr>
          <w:rFonts w:asciiTheme="majorHAnsi" w:eastAsia="Calibri" w:hAnsiTheme="majorHAnsi" w:cs="Calibri"/>
        </w:rPr>
        <w:t xml:space="preserve">in the five highest </w:t>
      </w:r>
      <w:r w:rsidR="00180BEF" w:rsidRPr="007F158D">
        <w:rPr>
          <w:rFonts w:asciiTheme="majorHAnsi" w:eastAsia="Calibri" w:hAnsiTheme="majorHAnsi" w:cs="Calibri"/>
        </w:rPr>
        <w:t xml:space="preserve">burden </w:t>
      </w:r>
      <w:r w:rsidRPr="007F158D">
        <w:rPr>
          <w:rFonts w:asciiTheme="majorHAnsi" w:eastAsia="Calibri" w:hAnsiTheme="majorHAnsi" w:cs="Calibri"/>
        </w:rPr>
        <w:t>districts (</w:t>
      </w:r>
      <w:proofErr w:type="spellStart"/>
      <w:r w:rsidRPr="007F158D">
        <w:rPr>
          <w:rFonts w:asciiTheme="majorHAnsi" w:eastAsia="Calibri" w:hAnsiTheme="majorHAnsi" w:cs="Calibri"/>
        </w:rPr>
        <w:t>Saharsa</w:t>
      </w:r>
      <w:proofErr w:type="spellEnd"/>
      <w:r w:rsidRPr="007F158D">
        <w:rPr>
          <w:rFonts w:asciiTheme="majorHAnsi" w:eastAsia="Calibri" w:hAnsiTheme="majorHAnsi" w:cs="Calibri"/>
        </w:rPr>
        <w:t>, E</w:t>
      </w:r>
      <w:r w:rsidR="0086786C" w:rsidRPr="007F158D">
        <w:rPr>
          <w:rFonts w:asciiTheme="majorHAnsi" w:eastAsia="Calibri" w:hAnsiTheme="majorHAnsi" w:cs="Calibri"/>
        </w:rPr>
        <w:t>ast</w:t>
      </w:r>
      <w:r w:rsidRPr="007F158D">
        <w:rPr>
          <w:rFonts w:asciiTheme="majorHAnsi" w:eastAsia="Calibri" w:hAnsiTheme="majorHAnsi" w:cs="Calibri"/>
        </w:rPr>
        <w:t xml:space="preserve"> </w:t>
      </w:r>
      <w:proofErr w:type="spellStart"/>
      <w:r w:rsidRPr="007F158D">
        <w:rPr>
          <w:rFonts w:asciiTheme="majorHAnsi" w:eastAsia="Calibri" w:hAnsiTheme="majorHAnsi" w:cs="Calibri"/>
        </w:rPr>
        <w:t>Champaran</w:t>
      </w:r>
      <w:proofErr w:type="spellEnd"/>
      <w:r w:rsidRPr="007F158D">
        <w:rPr>
          <w:rFonts w:asciiTheme="majorHAnsi" w:eastAsia="Calibri" w:hAnsiTheme="majorHAnsi" w:cs="Calibri"/>
        </w:rPr>
        <w:t xml:space="preserve">, </w:t>
      </w:r>
      <w:proofErr w:type="spellStart"/>
      <w:r w:rsidRPr="007F158D">
        <w:rPr>
          <w:rFonts w:asciiTheme="majorHAnsi" w:eastAsia="Calibri" w:hAnsiTheme="majorHAnsi" w:cs="Calibri"/>
        </w:rPr>
        <w:t>Samastipur</w:t>
      </w:r>
      <w:proofErr w:type="spellEnd"/>
      <w:r w:rsidRPr="007F158D">
        <w:rPr>
          <w:rFonts w:asciiTheme="majorHAnsi" w:eastAsia="Calibri" w:hAnsiTheme="majorHAnsi" w:cs="Calibri"/>
        </w:rPr>
        <w:t xml:space="preserve">, </w:t>
      </w:r>
      <w:proofErr w:type="spellStart"/>
      <w:r w:rsidRPr="007F158D">
        <w:rPr>
          <w:rFonts w:asciiTheme="majorHAnsi" w:eastAsia="Calibri" w:hAnsiTheme="majorHAnsi" w:cs="Calibri"/>
        </w:rPr>
        <w:t>Gopalganj</w:t>
      </w:r>
      <w:proofErr w:type="spellEnd"/>
      <w:r w:rsidRPr="007F158D">
        <w:rPr>
          <w:rFonts w:asciiTheme="majorHAnsi" w:eastAsia="Calibri" w:hAnsiTheme="majorHAnsi" w:cs="Calibri"/>
        </w:rPr>
        <w:t xml:space="preserve"> and </w:t>
      </w:r>
      <w:proofErr w:type="spellStart"/>
      <w:r w:rsidRPr="007F158D">
        <w:rPr>
          <w:rFonts w:asciiTheme="majorHAnsi" w:eastAsia="Calibri" w:hAnsiTheme="majorHAnsi" w:cs="Calibri"/>
        </w:rPr>
        <w:t>Khagaria</w:t>
      </w:r>
      <w:proofErr w:type="spellEnd"/>
      <w:r w:rsidRPr="007F158D">
        <w:rPr>
          <w:rFonts w:asciiTheme="majorHAnsi" w:eastAsia="Calibri" w:hAnsiTheme="majorHAnsi" w:cs="Calibri"/>
        </w:rPr>
        <w:t xml:space="preserve">), with an annual peak between January and April. This seasonal variation in </w:t>
      </w:r>
      <w:r w:rsidR="002D4002" w:rsidRPr="007F158D">
        <w:rPr>
          <w:rFonts w:asciiTheme="majorHAnsi" w:eastAsia="Calibri" w:hAnsiTheme="majorHAnsi" w:cs="Calibri"/>
        </w:rPr>
        <w:t xml:space="preserve">case numbers </w:t>
      </w:r>
      <w:r w:rsidRPr="007F158D">
        <w:rPr>
          <w:rFonts w:asciiTheme="majorHAnsi" w:eastAsia="Calibri" w:hAnsiTheme="majorHAnsi" w:cs="Calibri"/>
        </w:rPr>
        <w:t xml:space="preserve">has </w:t>
      </w:r>
      <w:r w:rsidR="0086786C" w:rsidRPr="007F158D">
        <w:rPr>
          <w:rFonts w:asciiTheme="majorHAnsi" w:eastAsia="Calibri" w:hAnsiTheme="majorHAnsi" w:cs="Calibri"/>
        </w:rPr>
        <w:t xml:space="preserve">also </w:t>
      </w:r>
      <w:r w:rsidRPr="007F158D">
        <w:rPr>
          <w:rFonts w:asciiTheme="majorHAnsi" w:eastAsia="Calibri" w:hAnsiTheme="majorHAnsi" w:cs="Calibri"/>
        </w:rPr>
        <w:t xml:space="preserve">been observed in other studies </w:t>
      </w:r>
      <w:r w:rsidRPr="007F158D">
        <w:rPr>
          <w:rFonts w:asciiTheme="majorHAnsi" w:eastAsia="Calibri" w:hAnsiTheme="majorHAnsi" w:cs="Calibri"/>
          <w:color w:val="auto"/>
        </w:rPr>
        <w:fldChar w:fldCharType="begin" w:fldLock="1"/>
      </w:r>
      <w:r w:rsidR="0086786C" w:rsidRPr="007F158D">
        <w:rPr>
          <w:rFonts w:asciiTheme="majorHAnsi" w:eastAsia="Calibri" w:hAnsiTheme="majorHAnsi" w:cs="Calibri"/>
          <w:color w:val="auto"/>
        </w:rPr>
        <w:instrText>ADDIN CSL_CITATION { "citationItems" : [ { "id" : "ITEM-1", "itemData" : { "DOI" : "10.1371/journal.pone.0014751", "ISSN" : "1932-6203", "PMID" : "21394195", "abstract" : "Visceral Leishmaniasis (VL) is a vector-borne disease transmitted by Phlebotomus argentipes. To understand the VL seasonality, annual and monthly variations of VL incidence and its relationship to meteorological variables, the numbers of VL cases reported in Muzaffarpur district, Bihar, India from 1990 to 2008 were studied.", "author" : [ { "dropping-particle" : "", "family" : "Malaviya", "given" : "Paritosh", "non-dropping-particle" : "", "parse-names" : false, "suffix" : "" }, { "dropping-particle" : "", "family" : "Picado", "given" : "Albert", "non-dropping-particle" : "", "parse-names" : false, "suffix" : "" }, { "dropping-particle" : "", "family" : "Singh", "given" : "Shri Prakash", "non-dropping-particle" : "", "parse-names" : false, "suffix" : "" }, { "dropping-particle" : "", "family" : "Hasker", "given" : "Epco", "non-dropping-particle" : "", "parse-names" : false, "suffix" : "" }, { "dropping-particle" : "", "family" : "Singh", "given" : "Rudra Pratap", "non-dropping-particle" : "", "parse-names" : false, "suffix" : "" }, { "dropping-particle" : "", "family" : "Boelaert", "given" : "Marleen", "non-dropping-particle" : "", "parse-names" : false, "suffix" : "" }, { "dropping-particle" : "", "family" : "Sundar", "given" : "Shyam", "non-dropping-particle" : "", "parse-names" : false, "suffix" : "" } ], "container-title" : "PLoS ONE", "editor" : [ { "dropping-particle" : "", "family" : "Diemert", "given" : "David Joseph", "non-dropping-particle" : "", "parse-names" : false, "suffix" : "" } ], "id" : "ITEM-1", "issue" : "3", "issued" : { "date-parts" : [ [ "2011", "3", "4" ] ] }, "page" : "e14751", "title" : "Visceral Leishmaniasis in Muzaffarpur District, Bihar, India from 1990 to 2008", "type" : "article-journal", "volume" : "6" }, "uris" : [ "http://www.mendeley.com/documents/?uuid=9b2780bf-6482-43f6-9789-de57dbdb92bc" ] }, { "id" : "ITEM-2", "itemData" : { "DOI" : "10.1371/journal.pntd.0002536", "ISBN" : "1935-2735", "ISSN" : "19352727", "PMID" : "24392166", "abstract" : "BACKGROUND: A proportion of all immunocompetent patients treated for visceral leishmaniasis (VL) are known to relapse; however, the risk factors for relapse are not well understood. With the support of the Rajendra Memorial Research Institute (RMRI), M\u00e9decins Sans Fronti\u00e8res (MSF) implemented a program in Bihar, India, using intravenous liposomal amphotericin B (Ambisome) as a first-line treatment for VL. The aim of this study was to identify risk factors for VL relapse by examining the characteristics of immunocompetent patients who relapsed following this regimen.\\n\\nMETHODS AND PRINCIPAL FINDINGS: This is an observational retrospective cohort study of all VL patients treated by the MSF program from July 2007 to August 2012. Intravenous Ambisome was administered to 8749 patients with VL in four doses of 5 mg/kg (for a total dose of 20 mg/kg) over 4-10 days, depending on the severity of disease. Out of 8588 patients not known to be HIV-positive, 8537 (99.4%) were discharged as initial cures, 24 (0.3%) defaulted, and 27 (0.3%) died during or immediately after treatment. In total, 1.4% (n = 119) of the initial cured patients re-attended the programme with parasitologically confirmed VL relapse, with a median time to relapse of 10.1 months. Male sex, age &lt;5 years and \u226545 years, a decrease in spleen size at time of discharge of \u22640.5 cm/day, and a shorter duration of symptoms prior to seeking treatment were significantly associated with relapse. Spleen size at admission, hemoglobin level, nutritional status, and previous history of relapse were not associated with relapse.\\n\\nCONCLUSIONS: This is the largest cohort of VL patients treated with Ambisome worldwide. The risk factors for relapse included male sex, age &lt;5 and \u226545 years, a smaller decrease in splenomegaly at discharge, and a shorter duration of symptoms prior to seeking treatment. The majority of relapses in this cohort occurred 6-12 months following treatment, suggesting that a 1-year follow-up is appropriate in future studies.", "author" : [ { "dropping-particle" : "", "family" : "Burza", "given" : "Sakib", "non-dropping-particle" : "", "parse-names" : false, "suffix" : "" }, { "dropping-particle" : "", "family" : "Sinha", "given" : "Prabhat K.", "non-dropping-particle" : "", "parse-names" : false, "suffix" : "" }, { "dropping-particle" : "", "family" : "Mahajan", "given" : "Raman", "non-dropping-particle" : "", "parse-names" : false, "suffix" : "" }, { "dropping-particle" : "", "family" : "Lima", "given" : "Mar\u00eda Angeles", "non-dropping-particle" : "", "parse-names" : false, "suffix" : "" }, { "dropping-particle" : "", "family" : "Mitra", "given" : "Gaurab", "non-dropping-particle" : "", "parse-names" : false, "suffix" : "" }, { "dropping-particle" : "", "family" : "Verma", "given" : "Neena", "non-dropping-particle" : "", "parse-names" : false, "suffix" : "" }, { "dropping-particle" : "", "family" : "Balsegaram", "given" : "Manica", "non-dropping-particle" : "", "parse-names" : false, "suffix" : "" }, { "dropping-particle" : "", "family" : "Das", "given" : "Pradeep", "non-dropping-particle" : "", "parse-names" : false, "suffix" : "" } ], "container-title" : "PLoS Neglected Tropical Diseases", "id" : "ITEM-2", "issue" : "1", "issued" : { "date-parts" : [ [ "2014" ] ] }, "page" : "44", "title" : "Risk Factors for Visceral Leishmaniasis Relapse in Immunocompetent Patients following Treatment with 20 mg/kg Liposomal Amphotericin B (Ambisome) in Bihar, India", "type" : "article-journal", "volume" : "8" }, "uris" : [ "http://www.mendeley.com/documents/?uuid=e03f060a-2b6c-490c-bf7b-4d2ad8c573b3" ] } ], "mendeley" : { "formattedCitation" : "(2,3)", "plainTextFormattedCitation" : "(2,3)", "previouslyFormattedCitation" : "(2,3)" }, "properties" : { "noteIndex" : 0 }, "schema" : "https://github.com/citation-style-language/schema/raw/master/csl-citation.json" }</w:instrText>
      </w:r>
      <w:r w:rsidRPr="007F158D">
        <w:rPr>
          <w:rFonts w:asciiTheme="majorHAnsi" w:eastAsia="Calibri" w:hAnsiTheme="majorHAnsi" w:cs="Calibri"/>
          <w:color w:val="auto"/>
        </w:rPr>
        <w:fldChar w:fldCharType="separate"/>
      </w:r>
      <w:r w:rsidR="00936FEA" w:rsidRPr="007F158D">
        <w:rPr>
          <w:rFonts w:asciiTheme="majorHAnsi" w:eastAsia="Calibri" w:hAnsiTheme="majorHAnsi" w:cs="Calibri"/>
          <w:noProof/>
          <w:color w:val="auto"/>
        </w:rPr>
        <w:t>(2,3)</w:t>
      </w:r>
      <w:r w:rsidRPr="007F158D">
        <w:rPr>
          <w:rFonts w:asciiTheme="majorHAnsi" w:eastAsia="Calibri" w:hAnsiTheme="majorHAnsi" w:cs="Calibri"/>
          <w:color w:val="auto"/>
        </w:rPr>
        <w:fldChar w:fldCharType="end"/>
      </w:r>
      <w:r w:rsidRPr="007F158D">
        <w:rPr>
          <w:rFonts w:asciiTheme="majorHAnsi" w:eastAsia="Calibri" w:hAnsiTheme="majorHAnsi" w:cs="Calibri"/>
        </w:rPr>
        <w:t xml:space="preserve"> (though from monthly numbers of diagnoses rather than onsets of symptoms), and is almost certainly driven by seasonal variation in </w:t>
      </w:r>
      <w:proofErr w:type="spellStart"/>
      <w:r w:rsidRPr="007F158D">
        <w:rPr>
          <w:rFonts w:asciiTheme="majorHAnsi" w:eastAsia="Calibri" w:hAnsiTheme="majorHAnsi" w:cs="Calibri"/>
        </w:rPr>
        <w:t>sandfly</w:t>
      </w:r>
      <w:proofErr w:type="spellEnd"/>
      <w:r w:rsidRPr="007F158D">
        <w:rPr>
          <w:rFonts w:asciiTheme="majorHAnsi" w:eastAsia="Calibri" w:hAnsiTheme="majorHAnsi" w:cs="Calibri"/>
        </w:rPr>
        <w:t xml:space="preserve"> abundance. The lag(s) between the peak(s) in the </w:t>
      </w:r>
      <w:proofErr w:type="spellStart"/>
      <w:r w:rsidRPr="007F158D">
        <w:rPr>
          <w:rFonts w:asciiTheme="majorHAnsi" w:eastAsia="Calibri" w:hAnsiTheme="majorHAnsi" w:cs="Calibri"/>
        </w:rPr>
        <w:t>sandfly</w:t>
      </w:r>
      <w:proofErr w:type="spellEnd"/>
      <w:r w:rsidRPr="007F158D">
        <w:rPr>
          <w:rFonts w:asciiTheme="majorHAnsi" w:eastAsia="Calibri" w:hAnsiTheme="majorHAnsi" w:cs="Calibri"/>
        </w:rPr>
        <w:t xml:space="preserve"> population (believed to be in June-August and October-November </w:t>
      </w:r>
      <w:r w:rsidRPr="007F158D">
        <w:rPr>
          <w:rFonts w:asciiTheme="majorHAnsi" w:eastAsia="Calibri" w:hAnsiTheme="majorHAnsi" w:cs="Calibri"/>
        </w:rPr>
        <w:fldChar w:fldCharType="begin" w:fldLock="1"/>
      </w:r>
      <w:r w:rsidR="00EA3C1D" w:rsidRPr="007F158D">
        <w:rPr>
          <w:rFonts w:asciiTheme="majorHAnsi" w:eastAsia="Calibri" w:hAnsiTheme="majorHAnsi" w:cs="Calibri"/>
        </w:rPr>
        <w:instrText>ADDIN CSL_CITATION { "citationItems" : [ { "id" : "ITEM-1", "itemData" : { "DOI" : "10.1111/j.1948-7134.2011.00119.x", "ISBN" : "1081-1710 (Print)\\n1081-1710 (Linking)", "ISSN" : "10811710", "PMID" : "21366762", "abstract" : "This study examined the spatial distribution and seasonal fluctuations of population densities of phlebotomine sand flies and was designed to obtain baseline data on the population trends of Phlebotomus argentipes, P. papatasi, and Sergentomyia spp. in a visceral leishmaniasis endemic area of Bihar, India. Beginning on 28 October 2009 and through 20 October 2010, 63 CDC light traps were evenly distributed in human homes, cattle sheds, combined dwellings, chicken coops, and adjacent vegetation areas in three villages in the Saran District of Bihar State. Sand fly collections were made on a weekly basis, sorted, and identified according to species, sex, and feeding status of the two genera. The daily temperatures and relative humidity ranges were collected in a representative human home, cattle shed, and combined dwelling in each of the three study villages. Village census surveys were conducted in the three study villages in February 2010, acquiring human population data, structural composition data, and livestock census information, and documenting the history of visceral leishmaniasis within each household. A total of 52,653 sand flies was trapped and identified over 3,276 trap-nights. Peaks in abundance were observed in November 2009, March and April, June through August. Of the sand flies trapped, 72.1% were P. argentipes, 27.1%Sergentomyia spp., and 0.8%P. papatasi. Distribution of the sand fly captures included 30.6%, 26.7%, 18.6%, 12.1%, and 12.0% from vegetation, combined dwellings, cattle sheds, housing, and poultry houses, respectively.", "author" : [ { "dropping-particle" : "", "family" : "Poch\u00e9", "given" : "David", "non-dropping-particle" : "", "parse-names" : false, "suffix" : "" }, { "dropping-particle" : "", "family" : "Garlapati", "given" : "Rajesh", "non-dropping-particle" : "", "parse-names" : false, "suffix" : "" }, { "dropping-particle" : "", "family" : "Ingenloff", "given" : "Kate", "non-dropping-particle" : "", "parse-names" : false, "suffix" : "" }, { "dropping-particle" : "", "family" : "Remmers", "given" : "Jennifer", "non-dropping-particle" : "", "parse-names" : false, "suffix" : "" }, { "dropping-particle" : "", "family" : "Poch\u00e9", "given" : "Richard", "non-dropping-particle" : "", "parse-names" : false, "suffix" : "" } ], "container-title" : "Journal of Vector Ecology", "id" : "ITEM-1", "issue" : "SUPPL.1", "issued" : { "date-parts" : [ [ "2011" ] ] }, "page" : "106-117", "title" : "Bionomics of phlebotomine sand flies from three villages in Bihar, India", "type" : "article-journal", "volume" : "36" }, "uris" : [ "http://www.mendeley.com/documents/?uuid=d2a48842-2471-46cb-b9e2-c1cddac88b12" ] }, { "id" : "ITEM-2", "itemData" : { "ISSN" : "0971-5916 (Print)", "PMID" : "22885260", "abstract" : "The Visceral Leishmaniasis (VL) Elimination Initiative in the Indian subcontinent was launched in 2005 as a joint effort between the governments in the Region (India, Nepal and Bangladesh) and the World Health Organization (WHO). The objective is to reduce the annual VL incidence below 1/10,000 inhabitants by 2015 based on detection and treatment of VL cases and vector control. We present here a review of studies published in the period 2005-2010 on the efficacy of different tools to control Phlebotomus argentipes. The review indicates that the current indoor residual spraying (IRS) and novel vector control methods mainly insecticide treated nets (ITN) have low effectiveness for several reasons. Efforts to improve quality of IRS operations and further research on alternative and integrated vector control methods need to be promoted to reach the VL elimination target by 2015.", "author" : [ { "dropping-particle" : "", "family" : "Picado", "given" : "Albert", "non-dropping-particle" : "", "parse-names" : false, "suffix" : "" }, { "dropping-particle" : "", "family" : "Dash", "given" : "Aditya P", "non-dropping-particle" : "", "parse-names" : false, "suffix" : "" }, { "dropping-particle" : "", "family" : "Bhattacharya", "given" : "Sujit", "non-dropping-particle" : "", "parse-names" : false, "suffix" : "" }, { "dropping-particle" : "", "family" : "Boelaert", "given" : "Marleen", "non-dropping-particle" : "", "parse-names" : false, "suffix" : "" } ], "container-title" : "The Indian journal of medical research", "id" : "ITEM-2", "issue" : "1", "issued" : { "date-parts" : [ [ "2012", "7" ] ] }, "language" : "eng", "page" : "22-31", "publisher-place" : "India", "title" : "Vector control interventions for visceral leishmaniasis elimination initiative in South Asia, 2005-2010.", "type" : "article-journal", "volume" : "136" }, "uris" : [ "http://www.mendeley.com/documents/?uuid=481f7baf-5487-4207-854d-45b8b0f68b43" ] }, { "id" : "ITEM-3", "itemData" : { "DOI" : "10.1371/journal.pone.0106771", "ISBN" : "1932-6203", "ISSN" : "19326203", "PMID" : "25184542", "abstract" : "BACKGROUND: Visceral Leishmaniasis (VL) is a vector-borne infectious disease, caused by the protozoan Leishmania donovani, which is transmitted by phlebotomine sand flies. In an earlier study in Bihar, India, we found an association between incidence of VL and housing conditions. In the current study we investigated the influence of housing structure and conditions in and around the house on the indoor abundance of Phlebotomus argentipes, the vector of VL in this area.\\n\\nMETHODS: In each of 50 study villages in Muzaffarpur district, we randomly selected 10 houses. Light traps were installed in each house for one night during three annual peaks of sand fly density over two successive years. Sand flies captured were morphologically identified and segregated by species, sex and feeding status. Data on housing conditions and socio-economic status were also collected. We fitted a linear mixed-effects regression model with log-transformed P. argentipes counts as outcome variable and village as random effect.\\n\\nRESULTS: P. argentipes was found in all but four of the 500 households. There was considerable variability between the years and the seasons. On bivariate analysis, housing structure, dampness of the floor, keeping animals inside, presence of animal dung around the house, and socio-economic status were all significantly associated with sand fly density. Highest sand fly densities were observed in thatched houses. In the multivariate model only the housing structure and socio-economic status remained significant.\\n\\nCONCLUSIONS: Better housing conditions are associated with lower sand fly densities, independent of other socio-economic conditions. However, in this area in Bihar even in the better-built houses sand flies are present.", "author" : [ { "dropping-particle" : "", "family" : "Malaviya", "given" : "Paritosh", "non-dropping-particle" : "", "parse-names" : false, "suffix" : "" }, { "dropping-particle" : "", "family" : "Hasker", "given" : "Epco", "non-dropping-particle" : "", "parse-names" : false, "suffix" : "" }, { "dropping-particle" : "", "family" : "Picado", "given" : "Albert", "non-dropping-particle" : "", "parse-names" : false, "suffix" : "" }, { "dropping-particle" : "", "family" : "Mishra", "given" : "Mukesh", "non-dropping-particle" : "", "parse-names" : false, "suffix" : "" }, { "dropping-particle" : "", "family" : "Geertruyden", "given" : "Jean Pierre", "non-dropping-particle" : "Van", "parse-names" : false, "suffix" : "" }, { "dropping-particle" : "", "family" : "Das", "given" : "Murari Lal", "non-dropping-particle" : "", "parse-names" : false, "suffix" : "" }, { "dropping-particle" : "", "family" : "Boelaert", "given" : "Marleen", "non-dropping-particle" : "", "parse-names" : false, "suffix" : "" }, { "dropping-particle" : "", "family" : "Sundar", "given" : "Shyam", "non-dropping-particle" : "", "parse-names" : false, "suffix" : "" } ], "container-title" : "PLoS ONE", "id" : "ITEM-3", "issue" : "9", "issued" : { "date-parts" : [ [ "2014" ] ] }, "page" : "1-7", "title" : "Exposure to phlebotomus argentipes (diptera, psychodidae, phlebotominae) sand flies in rural areas of Bihar, India: The role of housing conditions", "type" : "article-journal", "volume" : "9" }, "uris" : [ "http://www.mendeley.com/documents/?uuid=34b29a3f-b879-48d8-be50-d2af53dac4ae" ] } ], "mendeley" : { "formattedCitation" : "(4\u20136)", "plainTextFormattedCitation" : "(4\u20136)", "previouslyFormattedCitation" : "(4\u20136)" }, "properties" : { "noteIndex" : 0 }, "schema" : "https://github.com/citation-style-language/schema/raw/master/csl-citation.json" }</w:instrText>
      </w:r>
      <w:r w:rsidRPr="007F158D">
        <w:rPr>
          <w:rFonts w:asciiTheme="majorHAnsi" w:eastAsia="Calibri" w:hAnsiTheme="majorHAnsi" w:cs="Calibri"/>
        </w:rPr>
        <w:fldChar w:fldCharType="separate"/>
      </w:r>
      <w:r w:rsidR="00936FEA" w:rsidRPr="007F158D">
        <w:rPr>
          <w:rFonts w:asciiTheme="majorHAnsi" w:eastAsia="Calibri" w:hAnsiTheme="majorHAnsi" w:cs="Calibri"/>
          <w:noProof/>
        </w:rPr>
        <w:t>(4–6)</w:t>
      </w:r>
      <w:r w:rsidRPr="007F158D">
        <w:rPr>
          <w:rFonts w:asciiTheme="majorHAnsi" w:eastAsia="Calibri" w:hAnsiTheme="majorHAnsi" w:cs="Calibri"/>
        </w:rPr>
        <w:fldChar w:fldCharType="end"/>
      </w:r>
      <w:r w:rsidRPr="007F158D">
        <w:rPr>
          <w:rFonts w:asciiTheme="majorHAnsi" w:eastAsia="Calibri" w:hAnsiTheme="majorHAnsi" w:cs="Calibri"/>
        </w:rPr>
        <w:t xml:space="preserve">) and that in the incidence may therefore hold valuable information about the duration of asymptomatic infection prior to clinical VL. </w:t>
      </w:r>
      <w:r w:rsidR="001C1AAD" w:rsidRPr="007F158D">
        <w:rPr>
          <w:rFonts w:asciiTheme="majorHAnsi" w:eastAsia="Calibri" w:hAnsiTheme="majorHAnsi" w:cs="Calibri"/>
        </w:rPr>
        <w:t xml:space="preserve">In all districts but West </w:t>
      </w:r>
      <w:proofErr w:type="spellStart"/>
      <w:r w:rsidR="001C1AAD" w:rsidRPr="007F158D">
        <w:rPr>
          <w:rFonts w:asciiTheme="majorHAnsi" w:eastAsia="Calibri" w:hAnsiTheme="majorHAnsi" w:cs="Calibri"/>
        </w:rPr>
        <w:t>Champaran</w:t>
      </w:r>
      <w:proofErr w:type="spellEnd"/>
      <w:r w:rsidR="001C1AAD" w:rsidRPr="007F158D">
        <w:rPr>
          <w:rFonts w:asciiTheme="majorHAnsi" w:eastAsia="Calibri" w:hAnsiTheme="majorHAnsi" w:cs="Calibri"/>
        </w:rPr>
        <w:t xml:space="preserve">, </w:t>
      </w:r>
      <w:r w:rsidR="002D4002" w:rsidRPr="007F158D">
        <w:rPr>
          <w:rFonts w:asciiTheme="majorHAnsi" w:eastAsia="Calibri" w:hAnsiTheme="majorHAnsi" w:cs="Calibri"/>
        </w:rPr>
        <w:t>the numbers of cases</w:t>
      </w:r>
      <w:r w:rsidR="001C1AAD" w:rsidRPr="007F158D">
        <w:rPr>
          <w:rFonts w:asciiTheme="majorHAnsi" w:eastAsia="Calibri" w:hAnsiTheme="majorHAnsi" w:cs="Calibri"/>
        </w:rPr>
        <w:t xml:space="preserve"> decreased between January to June 2012 and January to June 2013.</w:t>
      </w:r>
    </w:p>
    <w:p w14:paraId="1DDFDDA2" w14:textId="77777777" w:rsidR="00212E4E" w:rsidRDefault="00212E4E" w:rsidP="00212E4E">
      <w:pPr>
        <w:pStyle w:val="normal0"/>
        <w:rPr>
          <w:rFonts w:asciiTheme="majorHAnsi" w:hAnsiTheme="majorHAnsi"/>
        </w:rPr>
      </w:pPr>
    </w:p>
    <w:p w14:paraId="75CF7E6A" w14:textId="5E5DA488" w:rsidR="001F392D" w:rsidRDefault="001F392D" w:rsidP="00212E4E">
      <w:pPr>
        <w:pStyle w:val="normal0"/>
        <w:rPr>
          <w:rFonts w:asciiTheme="majorHAnsi" w:hAnsiTheme="majorHAnsi"/>
        </w:rPr>
      </w:pPr>
      <w:r w:rsidRPr="001F392D">
        <w:rPr>
          <w:noProof/>
        </w:rPr>
        <w:drawing>
          <wp:inline distT="0" distB="0" distL="0" distR="0" wp14:anchorId="1CE45A0D" wp14:editId="75486944">
            <wp:extent cx="5270500" cy="318756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3187567"/>
                    </a:xfrm>
                    <a:prstGeom prst="rect">
                      <a:avLst/>
                    </a:prstGeom>
                    <a:noFill/>
                    <a:ln>
                      <a:noFill/>
                    </a:ln>
                  </pic:spPr>
                </pic:pic>
              </a:graphicData>
            </a:graphic>
          </wp:inline>
        </w:drawing>
      </w:r>
    </w:p>
    <w:p w14:paraId="27AD68A4" w14:textId="3316EFC8" w:rsidR="00BB390E" w:rsidRPr="007F158D" w:rsidRDefault="00BB390E" w:rsidP="00BB390E">
      <w:pPr>
        <w:pStyle w:val="Caption"/>
        <w:rPr>
          <w:rFonts w:asciiTheme="majorHAnsi" w:hAnsiTheme="majorHAnsi"/>
        </w:rPr>
      </w:pPr>
      <w:bookmarkStart w:id="1" w:name="_Ref344536340"/>
      <w:r w:rsidRPr="007F158D">
        <w:rPr>
          <w:rFonts w:asciiTheme="majorHAnsi" w:hAnsiTheme="majorHAnsi"/>
          <w:color w:val="auto"/>
        </w:rPr>
        <w:t xml:space="preserve">Figure </w:t>
      </w:r>
      <w:r>
        <w:rPr>
          <w:rFonts w:asciiTheme="majorHAnsi" w:hAnsiTheme="majorHAnsi"/>
          <w:color w:val="auto"/>
        </w:rPr>
        <w:t>S</w:t>
      </w:r>
      <w:r w:rsidRPr="007F158D">
        <w:rPr>
          <w:rFonts w:asciiTheme="majorHAnsi" w:hAnsiTheme="majorHAnsi"/>
          <w:color w:val="auto"/>
        </w:rPr>
        <w:fldChar w:fldCharType="begin"/>
      </w:r>
      <w:r w:rsidRPr="007F158D">
        <w:rPr>
          <w:rFonts w:asciiTheme="majorHAnsi" w:hAnsiTheme="majorHAnsi"/>
          <w:color w:val="auto"/>
        </w:rPr>
        <w:instrText xml:space="preserve"> SEQ Figure \* ARABIC </w:instrText>
      </w:r>
      <w:r w:rsidRPr="007F158D">
        <w:rPr>
          <w:rFonts w:asciiTheme="majorHAnsi" w:hAnsiTheme="majorHAnsi"/>
          <w:color w:val="auto"/>
        </w:rPr>
        <w:fldChar w:fldCharType="separate"/>
      </w:r>
      <w:r>
        <w:rPr>
          <w:rFonts w:asciiTheme="majorHAnsi" w:hAnsiTheme="majorHAnsi"/>
          <w:noProof/>
          <w:color w:val="auto"/>
        </w:rPr>
        <w:t>1</w:t>
      </w:r>
      <w:r w:rsidRPr="007F158D">
        <w:rPr>
          <w:rFonts w:asciiTheme="majorHAnsi" w:hAnsiTheme="majorHAnsi"/>
          <w:color w:val="auto"/>
        </w:rPr>
        <w:fldChar w:fldCharType="end"/>
      </w:r>
      <w:bookmarkEnd w:id="1"/>
      <w:r w:rsidRPr="007F158D">
        <w:rPr>
          <w:rFonts w:asciiTheme="majorHAnsi" w:hAnsiTheme="majorHAnsi"/>
          <w:noProof/>
          <w:color w:val="auto"/>
        </w:rPr>
        <w:t xml:space="preserve"> Monthly numbers of onsets of symptomatic VL cases for districts in CARE data.</w:t>
      </w:r>
      <w:r w:rsidRPr="007F158D">
        <w:rPr>
          <w:rFonts w:asciiTheme="majorHAnsi" w:hAnsiTheme="majorHAnsi"/>
          <w:b w:val="0"/>
          <w:noProof/>
          <w:color w:val="auto"/>
        </w:rPr>
        <w:t xml:space="preserve"> Dashed line shows average monthly number of cases across the districts.</w:t>
      </w:r>
    </w:p>
    <w:p w14:paraId="5ED89607" w14:textId="77777777" w:rsidR="00BB390E" w:rsidRDefault="00BB390E" w:rsidP="00212E4E">
      <w:pPr>
        <w:pStyle w:val="normal0"/>
        <w:rPr>
          <w:rFonts w:asciiTheme="majorHAnsi" w:hAnsiTheme="majorHAnsi"/>
        </w:rPr>
      </w:pPr>
    </w:p>
    <w:p w14:paraId="372FA9FB" w14:textId="77777777" w:rsidR="00FC02E7" w:rsidRDefault="00FC02E7">
      <w:pPr>
        <w:spacing w:line="240" w:lineRule="auto"/>
        <w:rPr>
          <w:rFonts w:asciiTheme="majorHAnsi" w:eastAsia="Calibri" w:hAnsiTheme="majorHAnsi" w:cs="Calibri"/>
        </w:rPr>
        <w:sectPr w:rsidR="00FC02E7" w:rsidSect="00B9623E">
          <w:pgSz w:w="11900" w:h="16840"/>
          <w:pgMar w:top="1440" w:right="1800" w:bottom="1440" w:left="1800" w:header="708" w:footer="708" w:gutter="0"/>
          <w:cols w:space="708"/>
          <w:docGrid w:linePitch="360"/>
        </w:sectPr>
      </w:pPr>
    </w:p>
    <w:tbl>
      <w:tblPr>
        <w:tblStyle w:val="LightShading"/>
        <w:tblpPr w:leftFromText="180" w:rightFromText="180" w:vertAnchor="page" w:horzAnchor="page" w:tblpX="1909" w:tblpY="2341"/>
        <w:tblW w:w="12299" w:type="dxa"/>
        <w:tblLayout w:type="fixed"/>
        <w:tblLook w:val="04A0" w:firstRow="1" w:lastRow="0" w:firstColumn="1" w:lastColumn="0" w:noHBand="0" w:noVBand="1"/>
      </w:tblPr>
      <w:tblGrid>
        <w:gridCol w:w="1185"/>
        <w:gridCol w:w="1103"/>
        <w:gridCol w:w="1081"/>
        <w:gridCol w:w="992"/>
        <w:gridCol w:w="992"/>
        <w:gridCol w:w="1276"/>
        <w:gridCol w:w="1276"/>
        <w:gridCol w:w="709"/>
        <w:gridCol w:w="992"/>
        <w:gridCol w:w="992"/>
        <w:gridCol w:w="993"/>
        <w:gridCol w:w="708"/>
      </w:tblGrid>
      <w:tr w:rsidR="00FC02E7" w:rsidRPr="007F158D" w14:paraId="7721C0F7" w14:textId="77777777" w:rsidTr="005B60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dxa"/>
            <w:vMerge w:val="restart"/>
          </w:tcPr>
          <w:p w14:paraId="6174A729" w14:textId="77777777" w:rsidR="00FC02E7" w:rsidRPr="007F158D" w:rsidRDefault="00FC02E7" w:rsidP="00E8480A">
            <w:pPr>
              <w:rPr>
                <w:rFonts w:asciiTheme="majorHAnsi" w:hAnsiTheme="majorHAnsi"/>
                <w:color w:val="000000" w:themeColor="text1"/>
                <w:sz w:val="20"/>
                <w:szCs w:val="20"/>
              </w:rPr>
            </w:pPr>
            <w:r w:rsidRPr="007F158D">
              <w:rPr>
                <w:rFonts w:asciiTheme="majorHAnsi" w:hAnsiTheme="majorHAnsi"/>
                <w:color w:val="000000" w:themeColor="text1"/>
                <w:sz w:val="20"/>
                <w:szCs w:val="20"/>
              </w:rPr>
              <w:lastRenderedPageBreak/>
              <w:t>District</w:t>
            </w:r>
          </w:p>
        </w:tc>
        <w:tc>
          <w:tcPr>
            <w:tcW w:w="2184" w:type="dxa"/>
            <w:gridSpan w:val="2"/>
          </w:tcPr>
          <w:p w14:paraId="533DB4AC" w14:textId="77777777" w:rsidR="00FC02E7" w:rsidRPr="007F158D" w:rsidRDefault="00FC02E7" w:rsidP="00E8480A">
            <w:pP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rPr>
            </w:pPr>
            <w:r w:rsidRPr="007F158D">
              <w:rPr>
                <w:rFonts w:asciiTheme="majorHAnsi" w:hAnsiTheme="majorHAnsi"/>
                <w:color w:val="000000" w:themeColor="text1"/>
                <w:sz w:val="20"/>
                <w:szCs w:val="20"/>
              </w:rPr>
              <w:t xml:space="preserve">Number of identified VL cases </w:t>
            </w:r>
            <w:r w:rsidRPr="007F158D">
              <w:rPr>
                <w:rFonts w:asciiTheme="majorHAnsi" w:hAnsiTheme="majorHAnsi"/>
                <w:b w:val="0"/>
                <w:color w:val="000000" w:themeColor="text1"/>
                <w:sz w:val="20"/>
                <w:szCs w:val="20"/>
                <w:vertAlign w:val="superscript"/>
              </w:rPr>
              <w:t>*</w:t>
            </w:r>
          </w:p>
        </w:tc>
        <w:tc>
          <w:tcPr>
            <w:tcW w:w="1984" w:type="dxa"/>
            <w:gridSpan w:val="2"/>
          </w:tcPr>
          <w:p w14:paraId="01491017" w14:textId="77777777" w:rsidR="00FC02E7" w:rsidRPr="007F158D" w:rsidRDefault="00FC02E7" w:rsidP="00E8480A">
            <w:pP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000000" w:themeColor="text1"/>
                <w:sz w:val="20"/>
                <w:szCs w:val="20"/>
                <w:vertAlign w:val="superscript"/>
              </w:rPr>
            </w:pPr>
            <w:r w:rsidRPr="007F158D">
              <w:rPr>
                <w:rFonts w:asciiTheme="majorHAnsi" w:hAnsiTheme="majorHAnsi"/>
                <w:color w:val="000000" w:themeColor="text1"/>
                <w:sz w:val="20"/>
                <w:szCs w:val="20"/>
              </w:rPr>
              <w:t>Population size</w:t>
            </w:r>
            <w:r w:rsidRPr="007F158D">
              <w:rPr>
                <w:rFonts w:asciiTheme="majorHAnsi" w:hAnsiTheme="majorHAnsi"/>
                <w:b w:val="0"/>
                <w:color w:val="000000" w:themeColor="text1"/>
                <w:sz w:val="20"/>
                <w:szCs w:val="20"/>
                <w:vertAlign w:val="superscript"/>
              </w:rPr>
              <w:t>**</w:t>
            </w:r>
          </w:p>
        </w:tc>
        <w:tc>
          <w:tcPr>
            <w:tcW w:w="1276" w:type="dxa"/>
          </w:tcPr>
          <w:p w14:paraId="6AFB0185" w14:textId="77777777" w:rsidR="00FC02E7" w:rsidRPr="007F158D" w:rsidRDefault="00FC02E7" w:rsidP="00E8480A">
            <w:pP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rPr>
            </w:pPr>
            <w:r w:rsidRPr="007F158D">
              <w:rPr>
                <w:rFonts w:asciiTheme="majorHAnsi" w:hAnsiTheme="majorHAnsi"/>
                <w:color w:val="000000" w:themeColor="text1"/>
                <w:sz w:val="20"/>
                <w:szCs w:val="20"/>
              </w:rPr>
              <w:t>Annual percentage growth rate</w:t>
            </w:r>
            <w:r>
              <w:rPr>
                <w:rFonts w:asciiTheme="majorHAnsi" w:hAnsiTheme="majorHAnsi"/>
                <w:color w:val="000000" w:themeColor="text1"/>
                <w:sz w:val="20"/>
                <w:szCs w:val="20"/>
              </w:rPr>
              <w:t xml:space="preserve"> (%) </w:t>
            </w:r>
            <w:r w:rsidRPr="007F158D">
              <w:rPr>
                <w:rFonts w:asciiTheme="majorHAnsi" w:hAnsiTheme="majorHAnsi"/>
                <w:b w:val="0"/>
                <w:color w:val="000000" w:themeColor="text1"/>
                <w:sz w:val="20"/>
                <w:szCs w:val="20"/>
                <w:vertAlign w:val="superscript"/>
              </w:rPr>
              <w:t>***</w:t>
            </w:r>
          </w:p>
        </w:tc>
        <w:tc>
          <w:tcPr>
            <w:tcW w:w="1276" w:type="dxa"/>
          </w:tcPr>
          <w:p w14:paraId="3A7629E1" w14:textId="77777777" w:rsidR="00FC02E7" w:rsidRPr="007F158D" w:rsidRDefault="00FC02E7" w:rsidP="00E8480A">
            <w:pP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vertAlign w:val="superscript"/>
              </w:rPr>
            </w:pPr>
            <w:r w:rsidRPr="007F158D">
              <w:rPr>
                <w:rFonts w:asciiTheme="majorHAnsi" w:hAnsiTheme="majorHAnsi"/>
                <w:color w:val="000000" w:themeColor="text1"/>
                <w:sz w:val="20"/>
                <w:szCs w:val="20"/>
              </w:rPr>
              <w:t>Burden of identified cases (cases per 10,000 population per year)</w:t>
            </w:r>
            <w:r w:rsidRPr="007F158D">
              <w:rPr>
                <w:rFonts w:asciiTheme="majorHAnsi" w:hAnsiTheme="majorHAnsi"/>
                <w:color w:val="000000" w:themeColor="text1"/>
                <w:sz w:val="20"/>
                <w:szCs w:val="20"/>
                <w:vertAlign w:val="superscript"/>
              </w:rPr>
              <w:t>#</w:t>
            </w:r>
          </w:p>
        </w:tc>
        <w:tc>
          <w:tcPr>
            <w:tcW w:w="1701" w:type="dxa"/>
            <w:gridSpan w:val="2"/>
          </w:tcPr>
          <w:p w14:paraId="62316498" w14:textId="77777777" w:rsidR="00FC02E7" w:rsidRPr="007F158D" w:rsidRDefault="00FC02E7" w:rsidP="00E8480A">
            <w:pP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000000" w:themeColor="text1"/>
                <w:sz w:val="20"/>
                <w:szCs w:val="20"/>
              </w:rPr>
            </w:pPr>
            <w:r w:rsidRPr="007F158D">
              <w:rPr>
                <w:rFonts w:asciiTheme="majorHAnsi" w:hAnsiTheme="majorHAnsi"/>
                <w:color w:val="000000" w:themeColor="text1"/>
                <w:sz w:val="20"/>
                <w:szCs w:val="20"/>
              </w:rPr>
              <w:t>Mean duration onset of symptoms to treatment (OT)  (days)</w:t>
            </w:r>
          </w:p>
        </w:tc>
        <w:tc>
          <w:tcPr>
            <w:tcW w:w="992" w:type="dxa"/>
          </w:tcPr>
          <w:p w14:paraId="1BECFC7A" w14:textId="77777777" w:rsidR="00FC02E7" w:rsidRPr="007F158D" w:rsidRDefault="00FC02E7" w:rsidP="00E8480A">
            <w:pP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themeColor="text1"/>
                <w:sz w:val="20"/>
                <w:szCs w:val="20"/>
                <w:vertAlign w:val="superscript"/>
              </w:rPr>
            </w:pPr>
            <w:r w:rsidRPr="007F158D">
              <w:rPr>
                <w:rFonts w:asciiTheme="majorHAnsi" w:hAnsiTheme="majorHAnsi"/>
                <w:color w:val="000000" w:themeColor="text1"/>
                <w:sz w:val="20"/>
                <w:szCs w:val="20"/>
              </w:rPr>
              <w:t>Fraction T1 to T2</w:t>
            </w:r>
            <w:r w:rsidRPr="007F158D">
              <w:rPr>
                <w:rFonts w:asciiTheme="majorHAnsi" w:hAnsiTheme="majorHAnsi"/>
                <w:b w:val="0"/>
                <w:color w:val="000000" w:themeColor="text1"/>
                <w:sz w:val="20"/>
                <w:szCs w:val="20"/>
                <w:vertAlign w:val="superscript"/>
              </w:rPr>
              <w:t>##</w:t>
            </w:r>
          </w:p>
        </w:tc>
        <w:tc>
          <w:tcPr>
            <w:tcW w:w="993" w:type="dxa"/>
          </w:tcPr>
          <w:p w14:paraId="6D9EA551" w14:textId="77777777" w:rsidR="00FC02E7" w:rsidRPr="007F158D" w:rsidRDefault="00FC02E7" w:rsidP="00E8480A">
            <w:pP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rPr>
            </w:pPr>
            <w:r w:rsidRPr="007F158D">
              <w:rPr>
                <w:rFonts w:asciiTheme="majorHAnsi" w:hAnsiTheme="majorHAnsi"/>
                <w:color w:val="000000" w:themeColor="text1"/>
                <w:sz w:val="20"/>
                <w:szCs w:val="20"/>
              </w:rPr>
              <w:t xml:space="preserve">Level of IRS </w:t>
            </w:r>
            <w:proofErr w:type="gramStart"/>
            <w:r w:rsidRPr="007F158D">
              <w:rPr>
                <w:rFonts w:asciiTheme="majorHAnsi" w:hAnsiTheme="majorHAnsi"/>
                <w:color w:val="000000" w:themeColor="text1"/>
                <w:sz w:val="20"/>
                <w:szCs w:val="20"/>
              </w:rPr>
              <w:t>coverage(</w:t>
            </w:r>
            <w:proofErr w:type="gramEnd"/>
            <w:r w:rsidRPr="007F158D">
              <w:rPr>
                <w:rFonts w:asciiTheme="majorHAnsi" w:hAnsiTheme="majorHAnsi"/>
                <w:color w:val="000000" w:themeColor="text1"/>
                <w:sz w:val="20"/>
                <w:szCs w:val="20"/>
              </w:rPr>
              <w:t xml:space="preserve">%) </w:t>
            </w:r>
            <w:r w:rsidRPr="007F158D">
              <w:rPr>
                <w:rFonts w:asciiTheme="majorHAnsi" w:hAnsiTheme="majorHAnsi"/>
                <w:b w:val="0"/>
                <w:color w:val="000000" w:themeColor="text1"/>
                <w:sz w:val="20"/>
                <w:szCs w:val="20"/>
                <w:vertAlign w:val="superscript"/>
              </w:rPr>
              <w:t>###</w:t>
            </w:r>
          </w:p>
        </w:tc>
        <w:tc>
          <w:tcPr>
            <w:tcW w:w="708" w:type="dxa"/>
          </w:tcPr>
          <w:p w14:paraId="7A38FBD3" w14:textId="77777777" w:rsidR="00FC02E7" w:rsidRPr="007F158D" w:rsidRDefault="00FC02E7" w:rsidP="00E8480A">
            <w:pP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rPr>
            </w:pPr>
            <w:r w:rsidRPr="007F158D">
              <w:rPr>
                <w:rFonts w:asciiTheme="majorHAnsi" w:hAnsiTheme="majorHAnsi"/>
                <w:color w:val="000000" w:themeColor="text1"/>
                <w:sz w:val="20"/>
                <w:szCs w:val="20"/>
              </w:rPr>
              <w:t xml:space="preserve">Start year of IRS </w:t>
            </w:r>
          </w:p>
        </w:tc>
      </w:tr>
      <w:tr w:rsidR="00FC02E7" w:rsidRPr="007F158D" w14:paraId="4CA24401" w14:textId="77777777" w:rsidTr="005B609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185" w:type="dxa"/>
            <w:vMerge/>
          </w:tcPr>
          <w:p w14:paraId="64F4B28C" w14:textId="77777777" w:rsidR="00FC02E7" w:rsidRPr="007F158D" w:rsidRDefault="00FC02E7" w:rsidP="00E8480A">
            <w:pPr>
              <w:rPr>
                <w:rFonts w:asciiTheme="majorHAnsi" w:eastAsia="Times New Roman" w:hAnsiTheme="majorHAnsi" w:cs="Times New Roman"/>
                <w:color w:val="000000" w:themeColor="text1"/>
                <w:sz w:val="20"/>
                <w:szCs w:val="20"/>
              </w:rPr>
            </w:pPr>
          </w:p>
        </w:tc>
        <w:tc>
          <w:tcPr>
            <w:tcW w:w="1103" w:type="dxa"/>
          </w:tcPr>
          <w:p w14:paraId="1A729794"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 xml:space="preserve">2012 </w:t>
            </w:r>
          </w:p>
          <w:p w14:paraId="392DBFC4"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(Jan-Dec)</w:t>
            </w:r>
          </w:p>
        </w:tc>
        <w:tc>
          <w:tcPr>
            <w:tcW w:w="1081" w:type="dxa"/>
          </w:tcPr>
          <w:p w14:paraId="2B22821E"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2013</w:t>
            </w:r>
            <w:r w:rsidRPr="007F158D">
              <w:rPr>
                <w:rFonts w:asciiTheme="majorHAnsi" w:eastAsia="Times New Roman" w:hAnsiTheme="majorHAnsi" w:cs="Times New Roman"/>
                <w:color w:val="000000" w:themeColor="text1"/>
                <w:sz w:val="20"/>
                <w:szCs w:val="20"/>
              </w:rPr>
              <w:br/>
              <w:t>(Jan-June)</w:t>
            </w:r>
          </w:p>
        </w:tc>
        <w:tc>
          <w:tcPr>
            <w:tcW w:w="992" w:type="dxa"/>
          </w:tcPr>
          <w:p w14:paraId="65E6906A"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2012</w:t>
            </w:r>
          </w:p>
        </w:tc>
        <w:tc>
          <w:tcPr>
            <w:tcW w:w="992" w:type="dxa"/>
          </w:tcPr>
          <w:p w14:paraId="593F1257"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2013</w:t>
            </w:r>
          </w:p>
        </w:tc>
        <w:tc>
          <w:tcPr>
            <w:tcW w:w="1276" w:type="dxa"/>
          </w:tcPr>
          <w:p w14:paraId="63AF79A8"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2001-2011</w:t>
            </w:r>
          </w:p>
        </w:tc>
        <w:tc>
          <w:tcPr>
            <w:tcW w:w="1276" w:type="dxa"/>
          </w:tcPr>
          <w:p w14:paraId="5DDB0B01"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2012</w:t>
            </w:r>
          </w:p>
        </w:tc>
        <w:tc>
          <w:tcPr>
            <w:tcW w:w="709" w:type="dxa"/>
          </w:tcPr>
          <w:p w14:paraId="37421190"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2012</w:t>
            </w:r>
          </w:p>
        </w:tc>
        <w:tc>
          <w:tcPr>
            <w:tcW w:w="992" w:type="dxa"/>
          </w:tcPr>
          <w:p w14:paraId="7CA87FE0"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2013</w:t>
            </w:r>
          </w:p>
        </w:tc>
        <w:tc>
          <w:tcPr>
            <w:tcW w:w="992" w:type="dxa"/>
          </w:tcPr>
          <w:p w14:paraId="673EA7EA"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7F158D">
              <w:rPr>
                <w:rFonts w:asciiTheme="majorHAnsi" w:hAnsiTheme="majorHAnsi"/>
                <w:color w:val="000000" w:themeColor="text1"/>
                <w:sz w:val="20"/>
                <w:szCs w:val="20"/>
              </w:rPr>
              <w:t>2012</w:t>
            </w:r>
          </w:p>
        </w:tc>
        <w:tc>
          <w:tcPr>
            <w:tcW w:w="993" w:type="dxa"/>
          </w:tcPr>
          <w:p w14:paraId="69BC9971"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7F158D">
              <w:rPr>
                <w:rFonts w:asciiTheme="majorHAnsi" w:hAnsiTheme="majorHAnsi"/>
                <w:color w:val="000000" w:themeColor="text1"/>
                <w:sz w:val="20"/>
                <w:szCs w:val="20"/>
              </w:rPr>
              <w:t>2012</w:t>
            </w:r>
          </w:p>
        </w:tc>
        <w:tc>
          <w:tcPr>
            <w:tcW w:w="708" w:type="dxa"/>
          </w:tcPr>
          <w:p w14:paraId="0357714D"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p>
        </w:tc>
      </w:tr>
      <w:tr w:rsidR="00FC02E7" w:rsidRPr="007F158D" w14:paraId="7A76D89F" w14:textId="77777777" w:rsidTr="005B609F">
        <w:tc>
          <w:tcPr>
            <w:cnfStyle w:val="001000000000" w:firstRow="0" w:lastRow="0" w:firstColumn="1" w:lastColumn="0" w:oddVBand="0" w:evenVBand="0" w:oddHBand="0" w:evenHBand="0" w:firstRowFirstColumn="0" w:firstRowLastColumn="0" w:lastRowFirstColumn="0" w:lastRowLastColumn="0"/>
            <w:tcW w:w="1185" w:type="dxa"/>
          </w:tcPr>
          <w:p w14:paraId="0817BA93" w14:textId="77777777" w:rsidR="00FC02E7" w:rsidRPr="007F158D" w:rsidRDefault="00FC02E7" w:rsidP="00E8480A">
            <w:pPr>
              <w:rPr>
                <w:rFonts w:asciiTheme="majorHAnsi" w:eastAsia="Times New Roman" w:hAnsiTheme="majorHAnsi" w:cs="Times New Roman"/>
                <w:color w:val="000000" w:themeColor="text1"/>
                <w:sz w:val="20"/>
                <w:szCs w:val="20"/>
              </w:rPr>
            </w:pPr>
            <w:proofErr w:type="spellStart"/>
            <w:r w:rsidRPr="007F158D">
              <w:rPr>
                <w:rFonts w:asciiTheme="majorHAnsi" w:eastAsia="Times New Roman" w:hAnsiTheme="majorHAnsi" w:cs="Times New Roman"/>
                <w:color w:val="000000" w:themeColor="text1"/>
                <w:sz w:val="20"/>
                <w:szCs w:val="20"/>
              </w:rPr>
              <w:t>Saharsa</w:t>
            </w:r>
            <w:proofErr w:type="spellEnd"/>
          </w:p>
        </w:tc>
        <w:tc>
          <w:tcPr>
            <w:tcW w:w="1103" w:type="dxa"/>
          </w:tcPr>
          <w:p w14:paraId="115D5593"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themeColor="text1"/>
                <w:sz w:val="20"/>
                <w:szCs w:val="20"/>
              </w:rPr>
            </w:pPr>
            <w:r w:rsidRPr="007F158D">
              <w:rPr>
                <w:rFonts w:asciiTheme="majorHAnsi" w:eastAsia="Times New Roman" w:hAnsiTheme="majorHAnsi" w:cs="Times New Roman"/>
                <w:color w:val="000000" w:themeColor="text1"/>
                <w:sz w:val="20"/>
                <w:szCs w:val="20"/>
              </w:rPr>
              <w:t>988</w:t>
            </w:r>
          </w:p>
        </w:tc>
        <w:tc>
          <w:tcPr>
            <w:tcW w:w="1081" w:type="dxa"/>
          </w:tcPr>
          <w:p w14:paraId="44A89669"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themeColor="text1"/>
                <w:sz w:val="20"/>
                <w:szCs w:val="20"/>
              </w:rPr>
            </w:pPr>
            <w:r w:rsidRPr="007F158D">
              <w:rPr>
                <w:rFonts w:asciiTheme="majorHAnsi" w:eastAsia="Times New Roman" w:hAnsiTheme="majorHAnsi" w:cs="Times New Roman"/>
                <w:color w:val="000000" w:themeColor="text1"/>
                <w:sz w:val="20"/>
                <w:szCs w:val="20"/>
              </w:rPr>
              <w:t>462</w:t>
            </w:r>
          </w:p>
        </w:tc>
        <w:tc>
          <w:tcPr>
            <w:tcW w:w="992" w:type="dxa"/>
          </w:tcPr>
          <w:p w14:paraId="129F01DB"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rPr>
            </w:pPr>
            <w:r w:rsidRPr="007F158D">
              <w:rPr>
                <w:rFonts w:asciiTheme="majorHAnsi" w:eastAsia="Times New Roman" w:hAnsiTheme="majorHAnsi" w:cs="Times New Roman"/>
                <w:color w:val="000000" w:themeColor="text1"/>
                <w:sz w:val="20"/>
                <w:szCs w:val="20"/>
              </w:rPr>
              <w:t>1963972</w:t>
            </w:r>
          </w:p>
        </w:tc>
        <w:tc>
          <w:tcPr>
            <w:tcW w:w="992" w:type="dxa"/>
          </w:tcPr>
          <w:p w14:paraId="7916DB83"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rPr>
            </w:pPr>
            <w:r w:rsidRPr="007F158D">
              <w:rPr>
                <w:rFonts w:asciiTheme="majorHAnsi" w:eastAsia="Times New Roman" w:hAnsiTheme="majorHAnsi" w:cs="Times New Roman"/>
                <w:color w:val="000000" w:themeColor="text1"/>
                <w:sz w:val="20"/>
                <w:szCs w:val="20"/>
              </w:rPr>
              <w:t>1998338</w:t>
            </w:r>
          </w:p>
        </w:tc>
        <w:tc>
          <w:tcPr>
            <w:tcW w:w="1276" w:type="dxa"/>
          </w:tcPr>
          <w:p w14:paraId="7CF03030"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rPr>
            </w:pPr>
            <w:r w:rsidRPr="007F158D">
              <w:rPr>
                <w:rFonts w:asciiTheme="majorHAnsi" w:eastAsia="Times New Roman" w:hAnsiTheme="majorHAnsi" w:cs="Times New Roman"/>
                <w:color w:val="000000" w:themeColor="text1"/>
                <w:sz w:val="20"/>
                <w:szCs w:val="20"/>
              </w:rPr>
              <w:t>2.34</w:t>
            </w:r>
          </w:p>
        </w:tc>
        <w:tc>
          <w:tcPr>
            <w:tcW w:w="1276" w:type="dxa"/>
          </w:tcPr>
          <w:p w14:paraId="2575AE88"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hAnsiTheme="majorHAnsi"/>
                <w:color w:val="000000" w:themeColor="text1"/>
                <w:sz w:val="20"/>
                <w:szCs w:val="20"/>
              </w:rPr>
              <w:t>5.03</w:t>
            </w:r>
          </w:p>
        </w:tc>
        <w:tc>
          <w:tcPr>
            <w:tcW w:w="709" w:type="dxa"/>
          </w:tcPr>
          <w:p w14:paraId="2EB54C15"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33.3</w:t>
            </w:r>
          </w:p>
        </w:tc>
        <w:tc>
          <w:tcPr>
            <w:tcW w:w="992" w:type="dxa"/>
          </w:tcPr>
          <w:p w14:paraId="7C348FB3"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34.2</w:t>
            </w:r>
          </w:p>
        </w:tc>
        <w:tc>
          <w:tcPr>
            <w:tcW w:w="992" w:type="dxa"/>
          </w:tcPr>
          <w:p w14:paraId="0779D093"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6.4%</w:t>
            </w:r>
          </w:p>
        </w:tc>
        <w:tc>
          <w:tcPr>
            <w:tcW w:w="993" w:type="dxa"/>
          </w:tcPr>
          <w:p w14:paraId="67434555"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rPr>
            </w:pPr>
            <w:r w:rsidRPr="007F158D">
              <w:rPr>
                <w:rFonts w:asciiTheme="majorHAnsi" w:eastAsia="Times New Roman" w:hAnsiTheme="majorHAnsi" w:cs="Times New Roman"/>
                <w:color w:val="000000" w:themeColor="text1"/>
                <w:sz w:val="20"/>
                <w:szCs w:val="20"/>
              </w:rPr>
              <w:t>72.46</w:t>
            </w:r>
          </w:p>
        </w:tc>
        <w:tc>
          <w:tcPr>
            <w:tcW w:w="708" w:type="dxa"/>
          </w:tcPr>
          <w:p w14:paraId="1AC7B4FC"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rPr>
            </w:pPr>
            <w:r w:rsidRPr="007F158D">
              <w:rPr>
                <w:rFonts w:asciiTheme="majorHAnsi" w:hAnsiTheme="majorHAnsi"/>
                <w:color w:val="000000" w:themeColor="text1"/>
                <w:sz w:val="20"/>
                <w:szCs w:val="20"/>
              </w:rPr>
              <w:t>2011</w:t>
            </w:r>
          </w:p>
        </w:tc>
      </w:tr>
      <w:tr w:rsidR="00FC02E7" w:rsidRPr="007F158D" w14:paraId="5BDF68A6" w14:textId="77777777" w:rsidTr="005B6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dxa"/>
          </w:tcPr>
          <w:p w14:paraId="3C614AFE" w14:textId="77777777" w:rsidR="00FC02E7" w:rsidRPr="007F158D" w:rsidRDefault="00FC02E7" w:rsidP="00E8480A">
            <w:pPr>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 xml:space="preserve">East </w:t>
            </w:r>
            <w:proofErr w:type="spellStart"/>
            <w:r w:rsidRPr="007F158D">
              <w:rPr>
                <w:rFonts w:asciiTheme="majorHAnsi" w:eastAsia="Times New Roman" w:hAnsiTheme="majorHAnsi" w:cs="Times New Roman"/>
                <w:color w:val="000000" w:themeColor="text1"/>
                <w:sz w:val="20"/>
                <w:szCs w:val="20"/>
              </w:rPr>
              <w:t>Champaran</w:t>
            </w:r>
            <w:proofErr w:type="spellEnd"/>
          </w:p>
        </w:tc>
        <w:tc>
          <w:tcPr>
            <w:tcW w:w="1103" w:type="dxa"/>
          </w:tcPr>
          <w:p w14:paraId="7B86B63B"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themeColor="text1"/>
                <w:sz w:val="20"/>
                <w:szCs w:val="20"/>
              </w:rPr>
            </w:pPr>
            <w:r w:rsidRPr="007F158D">
              <w:rPr>
                <w:rFonts w:asciiTheme="majorHAnsi" w:eastAsia="Times New Roman" w:hAnsiTheme="majorHAnsi" w:cs="Times New Roman"/>
                <w:color w:val="000000" w:themeColor="text1"/>
                <w:sz w:val="20"/>
                <w:szCs w:val="20"/>
              </w:rPr>
              <w:t>884</w:t>
            </w:r>
          </w:p>
        </w:tc>
        <w:tc>
          <w:tcPr>
            <w:tcW w:w="1081" w:type="dxa"/>
          </w:tcPr>
          <w:p w14:paraId="7A09EBF8"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themeColor="text1"/>
                <w:sz w:val="20"/>
                <w:szCs w:val="20"/>
              </w:rPr>
            </w:pPr>
            <w:r w:rsidRPr="007F158D">
              <w:rPr>
                <w:rFonts w:asciiTheme="majorHAnsi" w:eastAsia="Times New Roman" w:hAnsiTheme="majorHAnsi" w:cs="Times New Roman"/>
                <w:color w:val="000000" w:themeColor="text1"/>
                <w:sz w:val="20"/>
                <w:szCs w:val="20"/>
              </w:rPr>
              <w:t>335</w:t>
            </w:r>
          </w:p>
        </w:tc>
        <w:tc>
          <w:tcPr>
            <w:tcW w:w="992" w:type="dxa"/>
          </w:tcPr>
          <w:p w14:paraId="69AE70B8"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7F158D">
              <w:rPr>
                <w:rFonts w:asciiTheme="majorHAnsi" w:eastAsia="Times New Roman" w:hAnsiTheme="majorHAnsi" w:cs="Times New Roman"/>
                <w:color w:val="000000" w:themeColor="text1"/>
                <w:sz w:val="20"/>
                <w:szCs w:val="20"/>
              </w:rPr>
              <w:t>5289197</w:t>
            </w:r>
          </w:p>
        </w:tc>
        <w:tc>
          <w:tcPr>
            <w:tcW w:w="992" w:type="dxa"/>
          </w:tcPr>
          <w:p w14:paraId="642724C6"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7F158D">
              <w:rPr>
                <w:rFonts w:asciiTheme="majorHAnsi" w:eastAsia="Times New Roman" w:hAnsiTheme="majorHAnsi" w:cs="Times New Roman"/>
                <w:color w:val="000000" w:themeColor="text1"/>
                <w:sz w:val="20"/>
                <w:szCs w:val="20"/>
              </w:rPr>
              <w:t>5392537</w:t>
            </w:r>
          </w:p>
        </w:tc>
        <w:tc>
          <w:tcPr>
            <w:tcW w:w="1276" w:type="dxa"/>
          </w:tcPr>
          <w:p w14:paraId="4CBAA947"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7F158D">
              <w:rPr>
                <w:rFonts w:asciiTheme="majorHAnsi" w:eastAsia="Times New Roman" w:hAnsiTheme="majorHAnsi" w:cs="Times New Roman"/>
                <w:color w:val="000000" w:themeColor="text1"/>
                <w:sz w:val="20"/>
                <w:szCs w:val="20"/>
              </w:rPr>
              <w:t>2.61</w:t>
            </w:r>
          </w:p>
        </w:tc>
        <w:tc>
          <w:tcPr>
            <w:tcW w:w="1276" w:type="dxa"/>
          </w:tcPr>
          <w:p w14:paraId="2FFCF178"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hAnsiTheme="majorHAnsi"/>
                <w:color w:val="000000" w:themeColor="text1"/>
                <w:sz w:val="20"/>
                <w:szCs w:val="20"/>
              </w:rPr>
              <w:t>1.67</w:t>
            </w:r>
          </w:p>
        </w:tc>
        <w:tc>
          <w:tcPr>
            <w:tcW w:w="709" w:type="dxa"/>
          </w:tcPr>
          <w:p w14:paraId="15C858EB"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53.5</w:t>
            </w:r>
          </w:p>
        </w:tc>
        <w:tc>
          <w:tcPr>
            <w:tcW w:w="992" w:type="dxa"/>
          </w:tcPr>
          <w:p w14:paraId="4207FE6C"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44.1</w:t>
            </w:r>
          </w:p>
        </w:tc>
        <w:tc>
          <w:tcPr>
            <w:tcW w:w="992" w:type="dxa"/>
          </w:tcPr>
          <w:p w14:paraId="47B840E9"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7.3%</w:t>
            </w:r>
          </w:p>
        </w:tc>
        <w:tc>
          <w:tcPr>
            <w:tcW w:w="993" w:type="dxa"/>
          </w:tcPr>
          <w:p w14:paraId="029F1605"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7F158D">
              <w:rPr>
                <w:rFonts w:asciiTheme="majorHAnsi" w:eastAsia="Times New Roman" w:hAnsiTheme="majorHAnsi" w:cs="Times New Roman"/>
                <w:color w:val="000000" w:themeColor="text1"/>
                <w:sz w:val="20"/>
                <w:szCs w:val="20"/>
              </w:rPr>
              <w:t>63.16</w:t>
            </w:r>
          </w:p>
        </w:tc>
        <w:tc>
          <w:tcPr>
            <w:tcW w:w="708" w:type="dxa"/>
          </w:tcPr>
          <w:p w14:paraId="2C1C7C75"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7F158D">
              <w:rPr>
                <w:rFonts w:asciiTheme="majorHAnsi" w:hAnsiTheme="majorHAnsi"/>
                <w:color w:val="000000" w:themeColor="text1"/>
                <w:sz w:val="20"/>
                <w:szCs w:val="20"/>
              </w:rPr>
              <w:t>2011</w:t>
            </w:r>
          </w:p>
        </w:tc>
      </w:tr>
      <w:tr w:rsidR="00FC02E7" w:rsidRPr="007F158D" w14:paraId="1C1BF9EF" w14:textId="77777777" w:rsidTr="005B609F">
        <w:tc>
          <w:tcPr>
            <w:cnfStyle w:val="001000000000" w:firstRow="0" w:lastRow="0" w:firstColumn="1" w:lastColumn="0" w:oddVBand="0" w:evenVBand="0" w:oddHBand="0" w:evenHBand="0" w:firstRowFirstColumn="0" w:firstRowLastColumn="0" w:lastRowFirstColumn="0" w:lastRowLastColumn="0"/>
            <w:tcW w:w="1185" w:type="dxa"/>
          </w:tcPr>
          <w:p w14:paraId="24BE9879" w14:textId="77777777" w:rsidR="00FC02E7" w:rsidRPr="007F158D" w:rsidRDefault="00FC02E7" w:rsidP="00E8480A">
            <w:pPr>
              <w:rPr>
                <w:rFonts w:asciiTheme="majorHAnsi" w:eastAsia="Times New Roman" w:hAnsiTheme="majorHAnsi" w:cs="Times New Roman"/>
                <w:color w:val="000000" w:themeColor="text1"/>
                <w:sz w:val="20"/>
                <w:szCs w:val="20"/>
              </w:rPr>
            </w:pPr>
            <w:proofErr w:type="spellStart"/>
            <w:r w:rsidRPr="007F158D">
              <w:rPr>
                <w:rFonts w:asciiTheme="majorHAnsi" w:eastAsia="Times New Roman" w:hAnsiTheme="majorHAnsi" w:cs="Times New Roman"/>
                <w:color w:val="000000" w:themeColor="text1"/>
                <w:sz w:val="20"/>
                <w:szCs w:val="20"/>
              </w:rPr>
              <w:t>Samastipur</w:t>
            </w:r>
            <w:proofErr w:type="spellEnd"/>
          </w:p>
        </w:tc>
        <w:tc>
          <w:tcPr>
            <w:tcW w:w="1103" w:type="dxa"/>
          </w:tcPr>
          <w:p w14:paraId="3EEC3093"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themeColor="text1"/>
                <w:sz w:val="20"/>
                <w:szCs w:val="20"/>
              </w:rPr>
            </w:pPr>
            <w:r w:rsidRPr="007F158D">
              <w:rPr>
                <w:rFonts w:asciiTheme="majorHAnsi" w:eastAsia="Times New Roman" w:hAnsiTheme="majorHAnsi" w:cs="Times New Roman"/>
                <w:color w:val="000000" w:themeColor="text1"/>
                <w:sz w:val="20"/>
                <w:szCs w:val="20"/>
              </w:rPr>
              <w:t>562</w:t>
            </w:r>
          </w:p>
        </w:tc>
        <w:tc>
          <w:tcPr>
            <w:tcW w:w="1081" w:type="dxa"/>
          </w:tcPr>
          <w:p w14:paraId="06105059"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themeColor="text1"/>
                <w:sz w:val="20"/>
                <w:szCs w:val="20"/>
              </w:rPr>
            </w:pPr>
            <w:r w:rsidRPr="007F158D">
              <w:rPr>
                <w:rFonts w:asciiTheme="majorHAnsi" w:eastAsia="Times New Roman" w:hAnsiTheme="majorHAnsi" w:cs="Times New Roman"/>
                <w:color w:val="000000" w:themeColor="text1"/>
                <w:sz w:val="20"/>
                <w:szCs w:val="20"/>
              </w:rPr>
              <w:t>307</w:t>
            </w:r>
          </w:p>
        </w:tc>
        <w:tc>
          <w:tcPr>
            <w:tcW w:w="992" w:type="dxa"/>
          </w:tcPr>
          <w:p w14:paraId="3AE70ABF"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rPr>
            </w:pPr>
            <w:r w:rsidRPr="007F158D">
              <w:rPr>
                <w:rFonts w:asciiTheme="majorHAnsi" w:eastAsia="Times New Roman" w:hAnsiTheme="majorHAnsi" w:cs="Times New Roman"/>
                <w:color w:val="000000" w:themeColor="text1"/>
                <w:sz w:val="20"/>
                <w:szCs w:val="20"/>
              </w:rPr>
              <w:t>4401084</w:t>
            </w:r>
          </w:p>
        </w:tc>
        <w:tc>
          <w:tcPr>
            <w:tcW w:w="992" w:type="dxa"/>
          </w:tcPr>
          <w:p w14:paraId="4C9425DD"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rPr>
            </w:pPr>
            <w:r w:rsidRPr="007F158D">
              <w:rPr>
                <w:rFonts w:asciiTheme="majorHAnsi" w:eastAsia="Times New Roman" w:hAnsiTheme="majorHAnsi" w:cs="Times New Roman"/>
                <w:color w:val="000000" w:themeColor="text1"/>
                <w:sz w:val="20"/>
                <w:szCs w:val="20"/>
              </w:rPr>
              <w:t>4476786</w:t>
            </w:r>
          </w:p>
        </w:tc>
        <w:tc>
          <w:tcPr>
            <w:tcW w:w="1276" w:type="dxa"/>
          </w:tcPr>
          <w:p w14:paraId="6A7D7F60"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rPr>
            </w:pPr>
            <w:r w:rsidRPr="007F158D">
              <w:rPr>
                <w:rFonts w:asciiTheme="majorHAnsi" w:eastAsia="Times New Roman" w:hAnsiTheme="majorHAnsi" w:cs="Times New Roman"/>
                <w:color w:val="000000" w:themeColor="text1"/>
                <w:sz w:val="20"/>
                <w:szCs w:val="20"/>
              </w:rPr>
              <w:t>2.30</w:t>
            </w:r>
          </w:p>
        </w:tc>
        <w:tc>
          <w:tcPr>
            <w:tcW w:w="1276" w:type="dxa"/>
          </w:tcPr>
          <w:p w14:paraId="6B8C7BE2"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hAnsiTheme="majorHAnsi"/>
                <w:color w:val="000000" w:themeColor="text1"/>
                <w:sz w:val="20"/>
                <w:szCs w:val="20"/>
              </w:rPr>
              <w:t>1.27</w:t>
            </w:r>
          </w:p>
        </w:tc>
        <w:tc>
          <w:tcPr>
            <w:tcW w:w="709" w:type="dxa"/>
          </w:tcPr>
          <w:p w14:paraId="07799088"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38.2</w:t>
            </w:r>
          </w:p>
        </w:tc>
        <w:tc>
          <w:tcPr>
            <w:tcW w:w="992" w:type="dxa"/>
          </w:tcPr>
          <w:p w14:paraId="5DAA5598"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34.2</w:t>
            </w:r>
          </w:p>
        </w:tc>
        <w:tc>
          <w:tcPr>
            <w:tcW w:w="992" w:type="dxa"/>
          </w:tcPr>
          <w:p w14:paraId="6AA29E27"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14.0%</w:t>
            </w:r>
          </w:p>
        </w:tc>
        <w:tc>
          <w:tcPr>
            <w:tcW w:w="993" w:type="dxa"/>
          </w:tcPr>
          <w:p w14:paraId="7B9A3A9F"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rPr>
            </w:pPr>
            <w:r w:rsidRPr="007F158D">
              <w:rPr>
                <w:rFonts w:asciiTheme="majorHAnsi" w:eastAsia="Times New Roman" w:hAnsiTheme="majorHAnsi" w:cs="Times New Roman"/>
                <w:color w:val="000000" w:themeColor="text1"/>
                <w:sz w:val="20"/>
                <w:szCs w:val="20"/>
              </w:rPr>
              <w:t>56.68</w:t>
            </w:r>
          </w:p>
        </w:tc>
        <w:tc>
          <w:tcPr>
            <w:tcW w:w="708" w:type="dxa"/>
          </w:tcPr>
          <w:p w14:paraId="66C7DAA6"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rPr>
            </w:pPr>
            <w:r w:rsidRPr="007F158D">
              <w:rPr>
                <w:rFonts w:asciiTheme="majorHAnsi" w:hAnsiTheme="majorHAnsi"/>
                <w:color w:val="000000" w:themeColor="text1"/>
                <w:sz w:val="20"/>
                <w:szCs w:val="20"/>
              </w:rPr>
              <w:t>2011</w:t>
            </w:r>
          </w:p>
        </w:tc>
      </w:tr>
      <w:tr w:rsidR="00FC02E7" w:rsidRPr="007F158D" w14:paraId="4627BA5A" w14:textId="77777777" w:rsidTr="005B6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dxa"/>
          </w:tcPr>
          <w:p w14:paraId="78500150" w14:textId="77777777" w:rsidR="00FC02E7" w:rsidRPr="007F158D" w:rsidRDefault="00FC02E7" w:rsidP="00E8480A">
            <w:pPr>
              <w:rPr>
                <w:rFonts w:asciiTheme="majorHAnsi" w:eastAsia="Times New Roman" w:hAnsiTheme="majorHAnsi" w:cs="Times New Roman"/>
                <w:color w:val="000000" w:themeColor="text1"/>
                <w:sz w:val="20"/>
                <w:szCs w:val="20"/>
              </w:rPr>
            </w:pPr>
            <w:proofErr w:type="spellStart"/>
            <w:r w:rsidRPr="007F158D">
              <w:rPr>
                <w:rFonts w:asciiTheme="majorHAnsi" w:eastAsia="Times New Roman" w:hAnsiTheme="majorHAnsi" w:cs="Times New Roman"/>
                <w:color w:val="000000" w:themeColor="text1"/>
                <w:sz w:val="20"/>
                <w:szCs w:val="20"/>
              </w:rPr>
              <w:t>Gopalganj</w:t>
            </w:r>
            <w:proofErr w:type="spellEnd"/>
          </w:p>
        </w:tc>
        <w:tc>
          <w:tcPr>
            <w:tcW w:w="1103" w:type="dxa"/>
          </w:tcPr>
          <w:p w14:paraId="304F62CF"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themeColor="text1"/>
                <w:sz w:val="20"/>
                <w:szCs w:val="20"/>
              </w:rPr>
            </w:pPr>
            <w:r w:rsidRPr="007F158D">
              <w:rPr>
                <w:rFonts w:asciiTheme="majorHAnsi" w:eastAsia="Times New Roman" w:hAnsiTheme="majorHAnsi" w:cs="Times New Roman"/>
                <w:color w:val="000000" w:themeColor="text1"/>
                <w:sz w:val="20"/>
                <w:szCs w:val="20"/>
              </w:rPr>
              <w:t>427</w:t>
            </w:r>
          </w:p>
        </w:tc>
        <w:tc>
          <w:tcPr>
            <w:tcW w:w="1081" w:type="dxa"/>
          </w:tcPr>
          <w:p w14:paraId="708E65B4"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themeColor="text1"/>
                <w:sz w:val="20"/>
                <w:szCs w:val="20"/>
              </w:rPr>
            </w:pPr>
            <w:r w:rsidRPr="007F158D">
              <w:rPr>
                <w:rFonts w:asciiTheme="majorHAnsi" w:eastAsia="Times New Roman" w:hAnsiTheme="majorHAnsi" w:cs="Times New Roman"/>
                <w:color w:val="000000" w:themeColor="text1"/>
                <w:sz w:val="20"/>
                <w:szCs w:val="20"/>
              </w:rPr>
              <w:t>242</w:t>
            </w:r>
          </w:p>
        </w:tc>
        <w:tc>
          <w:tcPr>
            <w:tcW w:w="992" w:type="dxa"/>
          </w:tcPr>
          <w:p w14:paraId="21E0A7AC"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7F158D">
              <w:rPr>
                <w:rFonts w:asciiTheme="majorHAnsi" w:eastAsia="Times New Roman" w:hAnsiTheme="majorHAnsi" w:cs="Times New Roman"/>
                <w:color w:val="000000" w:themeColor="text1"/>
                <w:sz w:val="20"/>
                <w:szCs w:val="20"/>
              </w:rPr>
              <w:t>2625987</w:t>
            </w:r>
          </w:p>
        </w:tc>
        <w:tc>
          <w:tcPr>
            <w:tcW w:w="992" w:type="dxa"/>
          </w:tcPr>
          <w:p w14:paraId="428D3FEF"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7F158D">
              <w:rPr>
                <w:rFonts w:asciiTheme="majorHAnsi" w:eastAsia="Times New Roman" w:hAnsiTheme="majorHAnsi" w:cs="Times New Roman"/>
                <w:color w:val="000000" w:themeColor="text1"/>
                <w:sz w:val="20"/>
                <w:szCs w:val="20"/>
              </w:rPr>
              <w:t>2660501</w:t>
            </w:r>
          </w:p>
        </w:tc>
        <w:tc>
          <w:tcPr>
            <w:tcW w:w="1276" w:type="dxa"/>
          </w:tcPr>
          <w:p w14:paraId="3FDA947B"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7F158D">
              <w:rPr>
                <w:rFonts w:asciiTheme="majorHAnsi" w:eastAsia="Times New Roman" w:hAnsiTheme="majorHAnsi" w:cs="Times New Roman"/>
                <w:color w:val="000000" w:themeColor="text1"/>
                <w:sz w:val="20"/>
                <w:szCs w:val="20"/>
              </w:rPr>
              <w:t>1.76</w:t>
            </w:r>
          </w:p>
        </w:tc>
        <w:tc>
          <w:tcPr>
            <w:tcW w:w="1276" w:type="dxa"/>
          </w:tcPr>
          <w:p w14:paraId="3F7F18A9"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hAnsiTheme="majorHAnsi"/>
                <w:color w:val="000000" w:themeColor="text1"/>
                <w:sz w:val="20"/>
                <w:szCs w:val="20"/>
              </w:rPr>
              <w:t>1.63</w:t>
            </w:r>
          </w:p>
        </w:tc>
        <w:tc>
          <w:tcPr>
            <w:tcW w:w="709" w:type="dxa"/>
          </w:tcPr>
          <w:p w14:paraId="09E1ED68"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47.5</w:t>
            </w:r>
          </w:p>
        </w:tc>
        <w:tc>
          <w:tcPr>
            <w:tcW w:w="992" w:type="dxa"/>
          </w:tcPr>
          <w:p w14:paraId="3B5D525F"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42.8</w:t>
            </w:r>
          </w:p>
        </w:tc>
        <w:tc>
          <w:tcPr>
            <w:tcW w:w="992" w:type="dxa"/>
          </w:tcPr>
          <w:p w14:paraId="062DEB12"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21.9%</w:t>
            </w:r>
          </w:p>
        </w:tc>
        <w:tc>
          <w:tcPr>
            <w:tcW w:w="993" w:type="dxa"/>
          </w:tcPr>
          <w:p w14:paraId="2A9FBBE0"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7F158D">
              <w:rPr>
                <w:rFonts w:asciiTheme="majorHAnsi" w:eastAsia="Times New Roman" w:hAnsiTheme="majorHAnsi" w:cs="Times New Roman"/>
                <w:color w:val="000000" w:themeColor="text1"/>
                <w:sz w:val="20"/>
                <w:szCs w:val="20"/>
              </w:rPr>
              <w:t>44.42</w:t>
            </w:r>
          </w:p>
        </w:tc>
        <w:tc>
          <w:tcPr>
            <w:tcW w:w="708" w:type="dxa"/>
          </w:tcPr>
          <w:p w14:paraId="4CF74BE7"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7F158D">
              <w:rPr>
                <w:rFonts w:asciiTheme="majorHAnsi" w:hAnsiTheme="majorHAnsi"/>
                <w:color w:val="000000" w:themeColor="text1"/>
                <w:sz w:val="20"/>
                <w:szCs w:val="20"/>
              </w:rPr>
              <w:t>2011</w:t>
            </w:r>
          </w:p>
        </w:tc>
      </w:tr>
      <w:tr w:rsidR="00FC02E7" w:rsidRPr="007F158D" w14:paraId="10127726" w14:textId="77777777" w:rsidTr="005B609F">
        <w:tc>
          <w:tcPr>
            <w:cnfStyle w:val="001000000000" w:firstRow="0" w:lastRow="0" w:firstColumn="1" w:lastColumn="0" w:oddVBand="0" w:evenVBand="0" w:oddHBand="0" w:evenHBand="0" w:firstRowFirstColumn="0" w:firstRowLastColumn="0" w:lastRowFirstColumn="0" w:lastRowLastColumn="0"/>
            <w:tcW w:w="1185" w:type="dxa"/>
          </w:tcPr>
          <w:p w14:paraId="7D24FBF0" w14:textId="77777777" w:rsidR="00FC02E7" w:rsidRPr="007F158D" w:rsidRDefault="00FC02E7" w:rsidP="00E8480A">
            <w:pPr>
              <w:rPr>
                <w:rFonts w:asciiTheme="majorHAnsi" w:eastAsia="Times New Roman" w:hAnsiTheme="majorHAnsi" w:cs="Times New Roman"/>
                <w:color w:val="000000" w:themeColor="text1"/>
                <w:sz w:val="20"/>
                <w:szCs w:val="20"/>
              </w:rPr>
            </w:pPr>
            <w:proofErr w:type="spellStart"/>
            <w:r w:rsidRPr="007F158D">
              <w:rPr>
                <w:rFonts w:asciiTheme="majorHAnsi" w:eastAsia="Times New Roman" w:hAnsiTheme="majorHAnsi" w:cs="Times New Roman"/>
                <w:color w:val="000000" w:themeColor="text1"/>
                <w:sz w:val="20"/>
                <w:szCs w:val="20"/>
              </w:rPr>
              <w:t>Begusarai</w:t>
            </w:r>
            <w:proofErr w:type="spellEnd"/>
          </w:p>
        </w:tc>
        <w:tc>
          <w:tcPr>
            <w:tcW w:w="1103" w:type="dxa"/>
          </w:tcPr>
          <w:p w14:paraId="0EE21FF3"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themeColor="text1"/>
                <w:sz w:val="20"/>
                <w:szCs w:val="20"/>
              </w:rPr>
            </w:pPr>
            <w:r w:rsidRPr="007F158D">
              <w:rPr>
                <w:rFonts w:asciiTheme="majorHAnsi" w:eastAsia="Times New Roman" w:hAnsiTheme="majorHAnsi" w:cs="Times New Roman"/>
                <w:color w:val="000000" w:themeColor="text1"/>
                <w:sz w:val="20"/>
                <w:szCs w:val="20"/>
              </w:rPr>
              <w:t>311</w:t>
            </w:r>
          </w:p>
        </w:tc>
        <w:tc>
          <w:tcPr>
            <w:tcW w:w="1081" w:type="dxa"/>
          </w:tcPr>
          <w:p w14:paraId="13F06733"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themeColor="text1"/>
                <w:sz w:val="20"/>
                <w:szCs w:val="20"/>
              </w:rPr>
            </w:pPr>
            <w:r w:rsidRPr="007F158D">
              <w:rPr>
                <w:rFonts w:asciiTheme="majorHAnsi" w:eastAsia="Times New Roman" w:hAnsiTheme="majorHAnsi" w:cs="Times New Roman"/>
                <w:color w:val="000000" w:themeColor="text1"/>
                <w:sz w:val="20"/>
                <w:szCs w:val="20"/>
              </w:rPr>
              <w:t>148</w:t>
            </w:r>
          </w:p>
        </w:tc>
        <w:tc>
          <w:tcPr>
            <w:tcW w:w="992" w:type="dxa"/>
          </w:tcPr>
          <w:p w14:paraId="08B3D2AB"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themeColor="text1"/>
                <w:sz w:val="20"/>
                <w:szCs w:val="20"/>
              </w:rPr>
            </w:pPr>
            <w:r w:rsidRPr="007F158D">
              <w:rPr>
                <w:rFonts w:asciiTheme="majorHAnsi" w:eastAsia="Times New Roman" w:hAnsiTheme="majorHAnsi" w:cs="Times New Roman"/>
                <w:color w:val="000000" w:themeColor="text1"/>
                <w:sz w:val="20"/>
                <w:szCs w:val="20"/>
              </w:rPr>
              <w:t>3039108</w:t>
            </w:r>
            <w:r w:rsidRPr="007F158D" w:rsidDel="00475AA3">
              <w:rPr>
                <w:rFonts w:asciiTheme="majorHAnsi" w:hAnsiTheme="majorHAnsi"/>
                <w:color w:val="000000" w:themeColor="text1"/>
                <w:sz w:val="20"/>
                <w:szCs w:val="20"/>
              </w:rPr>
              <w:t xml:space="preserve"> </w:t>
            </w:r>
          </w:p>
        </w:tc>
        <w:tc>
          <w:tcPr>
            <w:tcW w:w="992" w:type="dxa"/>
          </w:tcPr>
          <w:p w14:paraId="75A59401"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themeColor="text1"/>
                <w:sz w:val="20"/>
                <w:szCs w:val="20"/>
              </w:rPr>
            </w:pPr>
            <w:r w:rsidRPr="007F158D">
              <w:rPr>
                <w:rFonts w:asciiTheme="majorHAnsi" w:eastAsia="Times New Roman" w:hAnsiTheme="majorHAnsi" w:cs="Times New Roman"/>
                <w:color w:val="000000" w:themeColor="text1"/>
                <w:sz w:val="20"/>
                <w:szCs w:val="20"/>
              </w:rPr>
              <w:t>3093054</w:t>
            </w:r>
          </w:p>
        </w:tc>
        <w:tc>
          <w:tcPr>
            <w:tcW w:w="1276" w:type="dxa"/>
          </w:tcPr>
          <w:p w14:paraId="6C2BD8CE"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rPr>
            </w:pPr>
            <w:r w:rsidRPr="007F158D">
              <w:rPr>
                <w:rFonts w:asciiTheme="majorHAnsi" w:eastAsia="Times New Roman" w:hAnsiTheme="majorHAnsi" w:cs="Times New Roman"/>
                <w:color w:val="000000" w:themeColor="text1"/>
                <w:sz w:val="20"/>
                <w:szCs w:val="20"/>
              </w:rPr>
              <w:t>2.37</w:t>
            </w:r>
          </w:p>
        </w:tc>
        <w:tc>
          <w:tcPr>
            <w:tcW w:w="1276" w:type="dxa"/>
          </w:tcPr>
          <w:p w14:paraId="69294D25"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hAnsiTheme="majorHAnsi"/>
                <w:color w:val="000000" w:themeColor="text1"/>
                <w:sz w:val="20"/>
                <w:szCs w:val="20"/>
              </w:rPr>
              <w:t>1.02</w:t>
            </w:r>
          </w:p>
        </w:tc>
        <w:tc>
          <w:tcPr>
            <w:tcW w:w="709" w:type="dxa"/>
          </w:tcPr>
          <w:p w14:paraId="70817D73"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21.6</w:t>
            </w:r>
          </w:p>
        </w:tc>
        <w:tc>
          <w:tcPr>
            <w:tcW w:w="992" w:type="dxa"/>
          </w:tcPr>
          <w:p w14:paraId="32B68C08"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22.5</w:t>
            </w:r>
          </w:p>
        </w:tc>
        <w:tc>
          <w:tcPr>
            <w:tcW w:w="992" w:type="dxa"/>
          </w:tcPr>
          <w:p w14:paraId="2026CE13"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10.8%</w:t>
            </w:r>
          </w:p>
        </w:tc>
        <w:tc>
          <w:tcPr>
            <w:tcW w:w="993" w:type="dxa"/>
          </w:tcPr>
          <w:p w14:paraId="0BBC671A"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rPr>
            </w:pPr>
            <w:r w:rsidRPr="007F158D">
              <w:rPr>
                <w:rFonts w:asciiTheme="majorHAnsi" w:eastAsia="Times New Roman" w:hAnsiTheme="majorHAnsi" w:cs="Times New Roman"/>
                <w:color w:val="000000" w:themeColor="text1"/>
                <w:sz w:val="20"/>
                <w:szCs w:val="20"/>
              </w:rPr>
              <w:t>62.09</w:t>
            </w:r>
          </w:p>
        </w:tc>
        <w:tc>
          <w:tcPr>
            <w:tcW w:w="708" w:type="dxa"/>
          </w:tcPr>
          <w:p w14:paraId="55CC0CC3"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rPr>
            </w:pPr>
            <w:r w:rsidRPr="007F158D">
              <w:rPr>
                <w:rFonts w:asciiTheme="majorHAnsi" w:hAnsiTheme="majorHAnsi"/>
                <w:color w:val="000000" w:themeColor="text1"/>
                <w:sz w:val="20"/>
                <w:szCs w:val="20"/>
              </w:rPr>
              <w:t>2011</w:t>
            </w:r>
          </w:p>
        </w:tc>
      </w:tr>
      <w:tr w:rsidR="00FC02E7" w:rsidRPr="007F158D" w14:paraId="6A17D373" w14:textId="77777777" w:rsidTr="005B6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dxa"/>
          </w:tcPr>
          <w:p w14:paraId="2F71AC45" w14:textId="77777777" w:rsidR="00FC02E7" w:rsidRPr="007F158D" w:rsidRDefault="00FC02E7" w:rsidP="00E8480A">
            <w:pPr>
              <w:rPr>
                <w:rFonts w:asciiTheme="majorHAnsi" w:eastAsia="Times New Roman" w:hAnsiTheme="majorHAnsi" w:cs="Times New Roman"/>
                <w:color w:val="000000" w:themeColor="text1"/>
                <w:sz w:val="20"/>
                <w:szCs w:val="20"/>
              </w:rPr>
            </w:pPr>
            <w:proofErr w:type="spellStart"/>
            <w:r w:rsidRPr="007F158D">
              <w:rPr>
                <w:rFonts w:asciiTheme="majorHAnsi" w:eastAsia="Times New Roman" w:hAnsiTheme="majorHAnsi" w:cs="Times New Roman"/>
                <w:color w:val="000000" w:themeColor="text1"/>
                <w:sz w:val="20"/>
                <w:szCs w:val="20"/>
              </w:rPr>
              <w:t>Khagaria</w:t>
            </w:r>
            <w:proofErr w:type="spellEnd"/>
          </w:p>
        </w:tc>
        <w:tc>
          <w:tcPr>
            <w:tcW w:w="1103" w:type="dxa"/>
          </w:tcPr>
          <w:p w14:paraId="36EAA723"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themeColor="text1"/>
                <w:sz w:val="20"/>
                <w:szCs w:val="20"/>
              </w:rPr>
            </w:pPr>
            <w:r w:rsidRPr="007F158D">
              <w:rPr>
                <w:rFonts w:asciiTheme="majorHAnsi" w:eastAsia="Times New Roman" w:hAnsiTheme="majorHAnsi" w:cs="Times New Roman"/>
                <w:color w:val="000000" w:themeColor="text1"/>
                <w:sz w:val="20"/>
                <w:szCs w:val="20"/>
              </w:rPr>
              <w:t>223</w:t>
            </w:r>
          </w:p>
        </w:tc>
        <w:tc>
          <w:tcPr>
            <w:tcW w:w="1081" w:type="dxa"/>
          </w:tcPr>
          <w:p w14:paraId="631ABBE9"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themeColor="text1"/>
                <w:sz w:val="20"/>
                <w:szCs w:val="20"/>
              </w:rPr>
            </w:pPr>
            <w:r w:rsidRPr="007F158D">
              <w:rPr>
                <w:rFonts w:asciiTheme="majorHAnsi" w:eastAsia="Times New Roman" w:hAnsiTheme="majorHAnsi" w:cs="Times New Roman"/>
                <w:color w:val="000000" w:themeColor="text1"/>
                <w:sz w:val="20"/>
                <w:szCs w:val="20"/>
              </w:rPr>
              <w:t>134</w:t>
            </w:r>
          </w:p>
        </w:tc>
        <w:tc>
          <w:tcPr>
            <w:tcW w:w="992" w:type="dxa"/>
          </w:tcPr>
          <w:p w14:paraId="13A7BD74"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7F158D">
              <w:rPr>
                <w:rFonts w:asciiTheme="majorHAnsi" w:eastAsia="Times New Roman" w:hAnsiTheme="majorHAnsi" w:cs="Times New Roman"/>
                <w:color w:val="000000" w:themeColor="text1"/>
                <w:sz w:val="20"/>
                <w:szCs w:val="20"/>
              </w:rPr>
              <w:t>1730364</w:t>
            </w:r>
          </w:p>
        </w:tc>
        <w:tc>
          <w:tcPr>
            <w:tcW w:w="992" w:type="dxa"/>
          </w:tcPr>
          <w:p w14:paraId="251BBC85"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7F158D">
              <w:rPr>
                <w:rFonts w:asciiTheme="majorHAnsi" w:eastAsia="Times New Roman" w:hAnsiTheme="majorHAnsi" w:cs="Times New Roman"/>
                <w:color w:val="000000" w:themeColor="text1"/>
                <w:sz w:val="20"/>
                <w:szCs w:val="20"/>
              </w:rPr>
              <w:t>1764943</w:t>
            </w:r>
          </w:p>
        </w:tc>
        <w:tc>
          <w:tcPr>
            <w:tcW w:w="1276" w:type="dxa"/>
          </w:tcPr>
          <w:p w14:paraId="341C08B1"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7F158D">
              <w:rPr>
                <w:rFonts w:asciiTheme="majorHAnsi" w:eastAsia="Times New Roman" w:hAnsiTheme="majorHAnsi" w:cs="Times New Roman"/>
                <w:color w:val="000000" w:themeColor="text1"/>
                <w:sz w:val="20"/>
                <w:szCs w:val="20"/>
              </w:rPr>
              <w:t>2.67</w:t>
            </w:r>
          </w:p>
        </w:tc>
        <w:tc>
          <w:tcPr>
            <w:tcW w:w="1276" w:type="dxa"/>
          </w:tcPr>
          <w:p w14:paraId="328647FE"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hAnsiTheme="majorHAnsi"/>
                <w:color w:val="000000" w:themeColor="text1"/>
                <w:sz w:val="20"/>
                <w:szCs w:val="20"/>
              </w:rPr>
              <w:t>1.29</w:t>
            </w:r>
          </w:p>
        </w:tc>
        <w:tc>
          <w:tcPr>
            <w:tcW w:w="709" w:type="dxa"/>
          </w:tcPr>
          <w:p w14:paraId="64849F02"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36.6</w:t>
            </w:r>
          </w:p>
        </w:tc>
        <w:tc>
          <w:tcPr>
            <w:tcW w:w="992" w:type="dxa"/>
          </w:tcPr>
          <w:p w14:paraId="4ED4F15C"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32.9</w:t>
            </w:r>
          </w:p>
        </w:tc>
        <w:tc>
          <w:tcPr>
            <w:tcW w:w="992" w:type="dxa"/>
          </w:tcPr>
          <w:p w14:paraId="5A3C23E5"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14.5%</w:t>
            </w:r>
          </w:p>
        </w:tc>
        <w:tc>
          <w:tcPr>
            <w:tcW w:w="993" w:type="dxa"/>
          </w:tcPr>
          <w:p w14:paraId="503A015A"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7F158D">
              <w:rPr>
                <w:rFonts w:asciiTheme="majorHAnsi" w:eastAsia="Times New Roman" w:hAnsiTheme="majorHAnsi" w:cs="Times New Roman"/>
                <w:color w:val="000000" w:themeColor="text1"/>
                <w:sz w:val="20"/>
                <w:szCs w:val="20"/>
              </w:rPr>
              <w:t>58.14</w:t>
            </w:r>
          </w:p>
        </w:tc>
        <w:tc>
          <w:tcPr>
            <w:tcW w:w="708" w:type="dxa"/>
          </w:tcPr>
          <w:p w14:paraId="5C52A885"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7F158D">
              <w:rPr>
                <w:rFonts w:asciiTheme="majorHAnsi" w:hAnsiTheme="majorHAnsi"/>
                <w:color w:val="000000" w:themeColor="text1"/>
                <w:sz w:val="20"/>
                <w:szCs w:val="20"/>
              </w:rPr>
              <w:t>2011</w:t>
            </w:r>
          </w:p>
        </w:tc>
      </w:tr>
      <w:tr w:rsidR="00FC02E7" w:rsidRPr="007F158D" w14:paraId="64903EC3" w14:textId="77777777" w:rsidTr="005B609F">
        <w:tc>
          <w:tcPr>
            <w:cnfStyle w:val="001000000000" w:firstRow="0" w:lastRow="0" w:firstColumn="1" w:lastColumn="0" w:oddVBand="0" w:evenVBand="0" w:oddHBand="0" w:evenHBand="0" w:firstRowFirstColumn="0" w:firstRowLastColumn="0" w:lastRowFirstColumn="0" w:lastRowLastColumn="0"/>
            <w:tcW w:w="1185" w:type="dxa"/>
          </w:tcPr>
          <w:p w14:paraId="2F17DA84" w14:textId="77777777" w:rsidR="00FC02E7" w:rsidRPr="007F158D" w:rsidRDefault="00FC02E7" w:rsidP="00E8480A">
            <w:pPr>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Patna</w:t>
            </w:r>
          </w:p>
        </w:tc>
        <w:tc>
          <w:tcPr>
            <w:tcW w:w="1103" w:type="dxa"/>
          </w:tcPr>
          <w:p w14:paraId="4126B778"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themeColor="text1"/>
                <w:sz w:val="20"/>
                <w:szCs w:val="20"/>
              </w:rPr>
            </w:pPr>
            <w:r w:rsidRPr="007F158D">
              <w:rPr>
                <w:rFonts w:asciiTheme="majorHAnsi" w:eastAsia="Times New Roman" w:hAnsiTheme="majorHAnsi" w:cs="Times New Roman"/>
                <w:color w:val="000000" w:themeColor="text1"/>
                <w:sz w:val="20"/>
                <w:szCs w:val="20"/>
              </w:rPr>
              <w:t>192</w:t>
            </w:r>
          </w:p>
        </w:tc>
        <w:tc>
          <w:tcPr>
            <w:tcW w:w="1081" w:type="dxa"/>
          </w:tcPr>
          <w:p w14:paraId="0559554F"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themeColor="text1"/>
                <w:sz w:val="20"/>
                <w:szCs w:val="20"/>
              </w:rPr>
            </w:pPr>
            <w:r w:rsidRPr="007F158D">
              <w:rPr>
                <w:rFonts w:asciiTheme="majorHAnsi" w:eastAsia="Times New Roman" w:hAnsiTheme="majorHAnsi" w:cs="Times New Roman"/>
                <w:color w:val="000000" w:themeColor="text1"/>
                <w:sz w:val="20"/>
                <w:szCs w:val="20"/>
              </w:rPr>
              <w:t>70</w:t>
            </w:r>
          </w:p>
        </w:tc>
        <w:tc>
          <w:tcPr>
            <w:tcW w:w="992" w:type="dxa"/>
          </w:tcPr>
          <w:p w14:paraId="4F2A5B97"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rPr>
            </w:pPr>
            <w:r w:rsidRPr="007F158D">
              <w:rPr>
                <w:rFonts w:asciiTheme="majorHAnsi" w:eastAsia="Times New Roman" w:hAnsiTheme="majorHAnsi" w:cs="Times New Roman"/>
                <w:color w:val="000000" w:themeColor="text1"/>
                <w:sz w:val="20"/>
                <w:szCs w:val="20"/>
              </w:rPr>
              <w:t>5949098</w:t>
            </w:r>
          </w:p>
        </w:tc>
        <w:tc>
          <w:tcPr>
            <w:tcW w:w="992" w:type="dxa"/>
          </w:tcPr>
          <w:p w14:paraId="270889EC"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rPr>
            </w:pPr>
            <w:r w:rsidRPr="007F158D">
              <w:rPr>
                <w:rFonts w:asciiTheme="majorHAnsi" w:eastAsia="Times New Roman" w:hAnsiTheme="majorHAnsi" w:cs="Times New Roman"/>
                <w:color w:val="000000" w:themeColor="text1"/>
                <w:sz w:val="20"/>
                <w:szCs w:val="20"/>
              </w:rPr>
              <w:t>6044879</w:t>
            </w:r>
          </w:p>
        </w:tc>
        <w:tc>
          <w:tcPr>
            <w:tcW w:w="1276" w:type="dxa"/>
          </w:tcPr>
          <w:p w14:paraId="0D9FE2F4"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rPr>
            </w:pPr>
            <w:r w:rsidRPr="007F158D">
              <w:rPr>
                <w:rFonts w:asciiTheme="majorHAnsi" w:eastAsia="Times New Roman" w:hAnsiTheme="majorHAnsi" w:cs="Times New Roman"/>
                <w:color w:val="000000" w:themeColor="text1"/>
                <w:sz w:val="20"/>
                <w:szCs w:val="20"/>
              </w:rPr>
              <w:t>2.15</w:t>
            </w:r>
          </w:p>
        </w:tc>
        <w:tc>
          <w:tcPr>
            <w:tcW w:w="1276" w:type="dxa"/>
          </w:tcPr>
          <w:p w14:paraId="49D2514E"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hAnsiTheme="majorHAnsi"/>
                <w:color w:val="000000" w:themeColor="text1"/>
                <w:sz w:val="20"/>
                <w:szCs w:val="20"/>
              </w:rPr>
              <w:t>0.32</w:t>
            </w:r>
          </w:p>
        </w:tc>
        <w:tc>
          <w:tcPr>
            <w:tcW w:w="709" w:type="dxa"/>
          </w:tcPr>
          <w:p w14:paraId="2485ECB0"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44.9</w:t>
            </w:r>
          </w:p>
        </w:tc>
        <w:tc>
          <w:tcPr>
            <w:tcW w:w="992" w:type="dxa"/>
          </w:tcPr>
          <w:p w14:paraId="40D5DD20"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43.0</w:t>
            </w:r>
          </w:p>
        </w:tc>
        <w:tc>
          <w:tcPr>
            <w:tcW w:w="992" w:type="dxa"/>
          </w:tcPr>
          <w:p w14:paraId="6790EF83"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9.4%</w:t>
            </w:r>
          </w:p>
        </w:tc>
        <w:tc>
          <w:tcPr>
            <w:tcW w:w="993" w:type="dxa"/>
          </w:tcPr>
          <w:p w14:paraId="3E415B18"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rPr>
            </w:pPr>
            <w:r w:rsidRPr="007F158D">
              <w:rPr>
                <w:rFonts w:asciiTheme="majorHAnsi" w:eastAsia="Times New Roman" w:hAnsiTheme="majorHAnsi" w:cs="Times New Roman"/>
                <w:color w:val="000000" w:themeColor="text1"/>
                <w:sz w:val="20"/>
                <w:szCs w:val="20"/>
              </w:rPr>
              <w:t>58.70</w:t>
            </w:r>
          </w:p>
        </w:tc>
        <w:tc>
          <w:tcPr>
            <w:tcW w:w="708" w:type="dxa"/>
          </w:tcPr>
          <w:p w14:paraId="6C506DC6"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rPr>
            </w:pPr>
            <w:r w:rsidRPr="007F158D">
              <w:rPr>
                <w:rFonts w:asciiTheme="majorHAnsi" w:hAnsiTheme="majorHAnsi"/>
                <w:color w:val="000000" w:themeColor="text1"/>
                <w:sz w:val="20"/>
                <w:szCs w:val="20"/>
              </w:rPr>
              <w:t>2011</w:t>
            </w:r>
          </w:p>
        </w:tc>
      </w:tr>
      <w:tr w:rsidR="00FC02E7" w:rsidRPr="007F158D" w14:paraId="418CC2CE" w14:textId="77777777" w:rsidTr="005B6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dxa"/>
          </w:tcPr>
          <w:p w14:paraId="0CC4A62B" w14:textId="77777777" w:rsidR="00FC02E7" w:rsidRPr="007F158D" w:rsidRDefault="00FC02E7" w:rsidP="00E8480A">
            <w:pPr>
              <w:rPr>
                <w:rFonts w:asciiTheme="majorHAnsi" w:eastAsia="Times New Roman" w:hAnsiTheme="majorHAnsi" w:cs="Times New Roman"/>
                <w:color w:val="000000" w:themeColor="text1"/>
                <w:sz w:val="20"/>
                <w:szCs w:val="20"/>
              </w:rPr>
            </w:pPr>
            <w:proofErr w:type="gramStart"/>
            <w:r w:rsidRPr="007F158D">
              <w:rPr>
                <w:rFonts w:asciiTheme="majorHAnsi" w:eastAsia="Times New Roman" w:hAnsiTheme="majorHAnsi" w:cs="Times New Roman"/>
                <w:color w:val="000000" w:themeColor="text1"/>
                <w:sz w:val="20"/>
                <w:szCs w:val="20"/>
              </w:rPr>
              <w:t xml:space="preserve">West  </w:t>
            </w:r>
            <w:proofErr w:type="spellStart"/>
            <w:r w:rsidRPr="007F158D">
              <w:rPr>
                <w:rFonts w:asciiTheme="majorHAnsi" w:eastAsia="Times New Roman" w:hAnsiTheme="majorHAnsi" w:cs="Times New Roman"/>
                <w:color w:val="000000" w:themeColor="text1"/>
                <w:sz w:val="20"/>
                <w:szCs w:val="20"/>
              </w:rPr>
              <w:t>Champaran</w:t>
            </w:r>
            <w:proofErr w:type="spellEnd"/>
            <w:proofErr w:type="gramEnd"/>
          </w:p>
        </w:tc>
        <w:tc>
          <w:tcPr>
            <w:tcW w:w="1103" w:type="dxa"/>
          </w:tcPr>
          <w:p w14:paraId="6F27859A"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themeColor="text1"/>
                <w:sz w:val="20"/>
                <w:szCs w:val="20"/>
              </w:rPr>
            </w:pPr>
            <w:r w:rsidRPr="007F158D">
              <w:rPr>
                <w:rFonts w:asciiTheme="majorHAnsi" w:eastAsia="Times New Roman" w:hAnsiTheme="majorHAnsi" w:cs="Times New Roman"/>
                <w:color w:val="000000" w:themeColor="text1"/>
                <w:sz w:val="20"/>
                <w:szCs w:val="20"/>
              </w:rPr>
              <w:t>83</w:t>
            </w:r>
          </w:p>
        </w:tc>
        <w:tc>
          <w:tcPr>
            <w:tcW w:w="1081" w:type="dxa"/>
          </w:tcPr>
          <w:p w14:paraId="5A3D57CF"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themeColor="text1"/>
                <w:sz w:val="20"/>
                <w:szCs w:val="20"/>
              </w:rPr>
            </w:pPr>
            <w:r w:rsidRPr="007F158D">
              <w:rPr>
                <w:rFonts w:asciiTheme="majorHAnsi" w:eastAsia="Times New Roman" w:hAnsiTheme="majorHAnsi" w:cs="Times New Roman"/>
                <w:color w:val="000000" w:themeColor="text1"/>
                <w:sz w:val="20"/>
                <w:szCs w:val="20"/>
              </w:rPr>
              <w:t>48</w:t>
            </w:r>
          </w:p>
        </w:tc>
        <w:tc>
          <w:tcPr>
            <w:tcW w:w="992" w:type="dxa"/>
          </w:tcPr>
          <w:p w14:paraId="7E5E8B91"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7F158D">
              <w:rPr>
                <w:rFonts w:asciiTheme="majorHAnsi" w:eastAsia="Times New Roman" w:hAnsiTheme="majorHAnsi" w:cs="Times New Roman"/>
                <w:color w:val="000000" w:themeColor="text1"/>
                <w:sz w:val="20"/>
                <w:szCs w:val="20"/>
              </w:rPr>
              <w:t>2879280</w:t>
            </w:r>
          </w:p>
        </w:tc>
        <w:tc>
          <w:tcPr>
            <w:tcW w:w="992" w:type="dxa"/>
          </w:tcPr>
          <w:p w14:paraId="0C1D450C"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7F158D">
              <w:rPr>
                <w:rFonts w:asciiTheme="majorHAnsi" w:eastAsia="Times New Roman" w:hAnsiTheme="majorHAnsi" w:cs="Times New Roman"/>
                <w:color w:val="000000" w:themeColor="text1"/>
                <w:sz w:val="20"/>
                <w:szCs w:val="20"/>
              </w:rPr>
              <w:t>2935300</w:t>
            </w:r>
          </w:p>
        </w:tc>
        <w:tc>
          <w:tcPr>
            <w:tcW w:w="1276" w:type="dxa"/>
          </w:tcPr>
          <w:p w14:paraId="59EE8B24"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7F158D">
              <w:rPr>
                <w:rFonts w:asciiTheme="majorHAnsi" w:eastAsia="Times New Roman" w:hAnsiTheme="majorHAnsi" w:cs="Times New Roman"/>
                <w:color w:val="000000" w:themeColor="text1"/>
                <w:sz w:val="20"/>
                <w:szCs w:val="20"/>
              </w:rPr>
              <w:t>2.60</w:t>
            </w:r>
          </w:p>
        </w:tc>
        <w:tc>
          <w:tcPr>
            <w:tcW w:w="1276" w:type="dxa"/>
          </w:tcPr>
          <w:p w14:paraId="2F5CBD3E"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hAnsiTheme="majorHAnsi"/>
                <w:color w:val="000000" w:themeColor="text1"/>
                <w:sz w:val="20"/>
                <w:szCs w:val="20"/>
              </w:rPr>
              <w:t>0.29</w:t>
            </w:r>
          </w:p>
        </w:tc>
        <w:tc>
          <w:tcPr>
            <w:tcW w:w="709" w:type="dxa"/>
          </w:tcPr>
          <w:p w14:paraId="13D4D336"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64.6</w:t>
            </w:r>
          </w:p>
        </w:tc>
        <w:tc>
          <w:tcPr>
            <w:tcW w:w="992" w:type="dxa"/>
          </w:tcPr>
          <w:p w14:paraId="66B7705E"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60.6</w:t>
            </w:r>
          </w:p>
        </w:tc>
        <w:tc>
          <w:tcPr>
            <w:tcW w:w="992" w:type="dxa"/>
          </w:tcPr>
          <w:p w14:paraId="265EB75E"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6.4%</w:t>
            </w:r>
          </w:p>
        </w:tc>
        <w:tc>
          <w:tcPr>
            <w:tcW w:w="993" w:type="dxa"/>
          </w:tcPr>
          <w:p w14:paraId="1AAD563C"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7F158D">
              <w:rPr>
                <w:rFonts w:asciiTheme="majorHAnsi" w:eastAsia="Times New Roman" w:hAnsiTheme="majorHAnsi" w:cs="Times New Roman"/>
                <w:color w:val="000000" w:themeColor="text1"/>
                <w:sz w:val="20"/>
                <w:szCs w:val="20"/>
              </w:rPr>
              <w:t>53.66</w:t>
            </w:r>
          </w:p>
        </w:tc>
        <w:tc>
          <w:tcPr>
            <w:tcW w:w="708" w:type="dxa"/>
          </w:tcPr>
          <w:p w14:paraId="06D20169" w14:textId="77777777" w:rsidR="00FC02E7" w:rsidRPr="007F158D" w:rsidRDefault="00FC02E7" w:rsidP="00E8480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7F158D">
              <w:rPr>
                <w:rFonts w:asciiTheme="majorHAnsi" w:hAnsiTheme="majorHAnsi"/>
                <w:color w:val="000000" w:themeColor="text1"/>
                <w:sz w:val="20"/>
                <w:szCs w:val="20"/>
              </w:rPr>
              <w:t>2011</w:t>
            </w:r>
          </w:p>
        </w:tc>
      </w:tr>
      <w:tr w:rsidR="00FC02E7" w:rsidRPr="007F158D" w14:paraId="04EDF13C" w14:textId="77777777" w:rsidTr="005B609F">
        <w:tc>
          <w:tcPr>
            <w:cnfStyle w:val="001000000000" w:firstRow="0" w:lastRow="0" w:firstColumn="1" w:lastColumn="0" w:oddVBand="0" w:evenVBand="0" w:oddHBand="0" w:evenHBand="0" w:firstRowFirstColumn="0" w:firstRowLastColumn="0" w:lastRowFirstColumn="0" w:lastRowLastColumn="0"/>
            <w:tcW w:w="1185" w:type="dxa"/>
          </w:tcPr>
          <w:p w14:paraId="501A3260" w14:textId="77777777" w:rsidR="00FC02E7" w:rsidRPr="007F158D" w:rsidRDefault="00FC02E7" w:rsidP="00E8480A">
            <w:pPr>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Total /</w:t>
            </w:r>
          </w:p>
          <w:p w14:paraId="180B690A" w14:textId="77777777" w:rsidR="00FC02E7" w:rsidRPr="007F158D" w:rsidRDefault="00FC02E7" w:rsidP="00E8480A">
            <w:pPr>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Average</w:t>
            </w:r>
          </w:p>
        </w:tc>
        <w:tc>
          <w:tcPr>
            <w:tcW w:w="1103" w:type="dxa"/>
          </w:tcPr>
          <w:p w14:paraId="08C96826"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3670</w:t>
            </w:r>
          </w:p>
        </w:tc>
        <w:tc>
          <w:tcPr>
            <w:tcW w:w="1081" w:type="dxa"/>
          </w:tcPr>
          <w:p w14:paraId="31AD202B"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1746</w:t>
            </w:r>
          </w:p>
        </w:tc>
        <w:tc>
          <w:tcPr>
            <w:tcW w:w="992" w:type="dxa"/>
          </w:tcPr>
          <w:p w14:paraId="59B7EB75"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2787809</w:t>
            </w:r>
          </w:p>
        </w:tc>
        <w:tc>
          <w:tcPr>
            <w:tcW w:w="992" w:type="dxa"/>
          </w:tcPr>
          <w:p w14:paraId="7FD0DF89"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2836634</w:t>
            </w:r>
          </w:p>
        </w:tc>
        <w:tc>
          <w:tcPr>
            <w:tcW w:w="1276" w:type="dxa"/>
          </w:tcPr>
          <w:p w14:paraId="0B1C8A87"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2.35</w:t>
            </w:r>
          </w:p>
        </w:tc>
        <w:tc>
          <w:tcPr>
            <w:tcW w:w="1276" w:type="dxa"/>
          </w:tcPr>
          <w:p w14:paraId="60FB04FA"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rPr>
            </w:pPr>
            <w:r w:rsidRPr="007F158D">
              <w:rPr>
                <w:rFonts w:asciiTheme="majorHAnsi" w:hAnsiTheme="majorHAnsi"/>
                <w:color w:val="000000" w:themeColor="text1"/>
                <w:sz w:val="20"/>
                <w:szCs w:val="20"/>
              </w:rPr>
              <w:t>1.57</w:t>
            </w:r>
          </w:p>
        </w:tc>
        <w:tc>
          <w:tcPr>
            <w:tcW w:w="709" w:type="dxa"/>
          </w:tcPr>
          <w:p w14:paraId="18FAE3E8"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42.5</w:t>
            </w:r>
          </w:p>
        </w:tc>
        <w:tc>
          <w:tcPr>
            <w:tcW w:w="992" w:type="dxa"/>
          </w:tcPr>
          <w:p w14:paraId="6C060323"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39.3</w:t>
            </w:r>
          </w:p>
        </w:tc>
        <w:tc>
          <w:tcPr>
            <w:tcW w:w="992" w:type="dxa"/>
          </w:tcPr>
          <w:p w14:paraId="3DB336F9"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11.3%</w:t>
            </w:r>
          </w:p>
        </w:tc>
        <w:tc>
          <w:tcPr>
            <w:tcW w:w="993" w:type="dxa"/>
          </w:tcPr>
          <w:p w14:paraId="1F50BF9B" w14:textId="1C6C3226"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themeColor="text1"/>
                <w:sz w:val="20"/>
                <w:szCs w:val="20"/>
              </w:rPr>
            </w:pPr>
            <w:r w:rsidRPr="007F158D">
              <w:rPr>
                <w:rFonts w:asciiTheme="majorHAnsi" w:eastAsia="Times New Roman" w:hAnsiTheme="majorHAnsi" w:cs="Times New Roman"/>
                <w:color w:val="000000" w:themeColor="text1"/>
                <w:sz w:val="20"/>
                <w:szCs w:val="20"/>
              </w:rPr>
              <w:t>58.66</w:t>
            </w:r>
          </w:p>
        </w:tc>
        <w:tc>
          <w:tcPr>
            <w:tcW w:w="708" w:type="dxa"/>
          </w:tcPr>
          <w:p w14:paraId="77D36C48" w14:textId="77777777" w:rsidR="00FC02E7" w:rsidRPr="007F158D" w:rsidRDefault="00FC02E7" w:rsidP="00E8480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rPr>
            </w:pPr>
          </w:p>
        </w:tc>
      </w:tr>
    </w:tbl>
    <w:p w14:paraId="374C2DA4" w14:textId="77777777" w:rsidR="00FC02E7" w:rsidRPr="007F158D" w:rsidRDefault="00FC02E7" w:rsidP="00FC02E7">
      <w:pPr>
        <w:pStyle w:val="Caption"/>
        <w:rPr>
          <w:rFonts w:asciiTheme="majorHAnsi" w:hAnsiTheme="majorHAnsi"/>
          <w:color w:val="000000" w:themeColor="text1"/>
        </w:rPr>
      </w:pPr>
      <w:r w:rsidRPr="007F158D">
        <w:rPr>
          <w:rFonts w:asciiTheme="majorHAnsi" w:hAnsiTheme="majorHAnsi"/>
          <w:color w:val="000000" w:themeColor="text1"/>
        </w:rPr>
        <w:t xml:space="preserve">Table </w:t>
      </w:r>
      <w:r>
        <w:rPr>
          <w:rFonts w:asciiTheme="majorHAnsi" w:hAnsiTheme="majorHAnsi"/>
          <w:color w:val="000000" w:themeColor="text1"/>
        </w:rPr>
        <w:t>S</w:t>
      </w:r>
      <w:r w:rsidRPr="007F158D">
        <w:rPr>
          <w:rFonts w:asciiTheme="majorHAnsi" w:hAnsiTheme="majorHAnsi"/>
          <w:color w:val="000000" w:themeColor="text1"/>
        </w:rPr>
        <w:fldChar w:fldCharType="begin"/>
      </w:r>
      <w:r w:rsidRPr="007F158D">
        <w:rPr>
          <w:rFonts w:asciiTheme="majorHAnsi" w:hAnsiTheme="majorHAnsi"/>
          <w:color w:val="000000" w:themeColor="text1"/>
        </w:rPr>
        <w:instrText xml:space="preserve"> SEQ Table \* ARABIC </w:instrText>
      </w:r>
      <w:r w:rsidRPr="007F158D">
        <w:rPr>
          <w:rFonts w:asciiTheme="majorHAnsi" w:hAnsiTheme="majorHAnsi"/>
          <w:color w:val="000000" w:themeColor="text1"/>
        </w:rPr>
        <w:fldChar w:fldCharType="separate"/>
      </w:r>
      <w:r>
        <w:rPr>
          <w:rFonts w:asciiTheme="majorHAnsi" w:hAnsiTheme="majorHAnsi"/>
          <w:noProof/>
          <w:color w:val="000000" w:themeColor="text1"/>
        </w:rPr>
        <w:t>1</w:t>
      </w:r>
      <w:r w:rsidRPr="007F158D">
        <w:rPr>
          <w:rFonts w:asciiTheme="majorHAnsi" w:hAnsiTheme="majorHAnsi"/>
          <w:color w:val="000000" w:themeColor="text1"/>
        </w:rPr>
        <w:fldChar w:fldCharType="end"/>
      </w:r>
      <w:r w:rsidRPr="007F158D">
        <w:rPr>
          <w:rFonts w:asciiTheme="majorHAnsi" w:hAnsiTheme="majorHAnsi"/>
          <w:color w:val="000000" w:themeColor="text1"/>
        </w:rPr>
        <w:t>. Overview of CARE data and Census data (2001, 2011), input for geographical cross validation.</w:t>
      </w:r>
    </w:p>
    <w:p w14:paraId="007FB1D1" w14:textId="77777777" w:rsidR="00FC02E7" w:rsidRPr="007F158D" w:rsidRDefault="00FC02E7" w:rsidP="00FC02E7">
      <w:pPr>
        <w:pStyle w:val="Caption"/>
        <w:spacing w:after="0"/>
        <w:rPr>
          <w:rFonts w:asciiTheme="majorHAnsi" w:eastAsia="Arial" w:hAnsiTheme="majorHAnsi" w:cs="Arial"/>
          <w:b w:val="0"/>
          <w:bCs w:val="0"/>
          <w:color w:val="000000" w:themeColor="text1"/>
          <w:sz w:val="20"/>
          <w:szCs w:val="20"/>
          <w:vertAlign w:val="superscript"/>
        </w:rPr>
      </w:pPr>
    </w:p>
    <w:p w14:paraId="43F91010" w14:textId="77777777" w:rsidR="00C35AE5" w:rsidRDefault="00C35AE5" w:rsidP="00FC02E7">
      <w:pPr>
        <w:rPr>
          <w:rFonts w:asciiTheme="majorHAnsi" w:hAnsiTheme="majorHAnsi"/>
          <w:color w:val="000000" w:themeColor="text1"/>
          <w:sz w:val="20"/>
          <w:szCs w:val="20"/>
          <w:vertAlign w:val="superscript"/>
        </w:rPr>
      </w:pPr>
    </w:p>
    <w:p w14:paraId="44EA21B6" w14:textId="77777777" w:rsidR="00C35AE5" w:rsidRDefault="00C35AE5" w:rsidP="00FC02E7">
      <w:pPr>
        <w:rPr>
          <w:rFonts w:asciiTheme="majorHAnsi" w:hAnsiTheme="majorHAnsi"/>
          <w:color w:val="000000" w:themeColor="text1"/>
          <w:sz w:val="20"/>
          <w:szCs w:val="20"/>
          <w:vertAlign w:val="superscript"/>
        </w:rPr>
      </w:pPr>
    </w:p>
    <w:p w14:paraId="651C0C2C" w14:textId="77777777" w:rsidR="00C35AE5" w:rsidRDefault="00C35AE5" w:rsidP="00FC02E7">
      <w:pPr>
        <w:rPr>
          <w:rFonts w:asciiTheme="majorHAnsi" w:hAnsiTheme="majorHAnsi"/>
          <w:color w:val="000000" w:themeColor="text1"/>
          <w:sz w:val="20"/>
          <w:szCs w:val="20"/>
          <w:vertAlign w:val="superscript"/>
        </w:rPr>
      </w:pPr>
    </w:p>
    <w:p w14:paraId="000BD1A6" w14:textId="77777777" w:rsidR="00C35AE5" w:rsidRDefault="00C35AE5" w:rsidP="00FC02E7">
      <w:pPr>
        <w:rPr>
          <w:rFonts w:asciiTheme="majorHAnsi" w:hAnsiTheme="majorHAnsi"/>
          <w:color w:val="000000" w:themeColor="text1"/>
          <w:sz w:val="20"/>
          <w:szCs w:val="20"/>
          <w:vertAlign w:val="superscript"/>
        </w:rPr>
      </w:pPr>
    </w:p>
    <w:p w14:paraId="607682BA" w14:textId="77777777" w:rsidR="00C35AE5" w:rsidRDefault="00C35AE5" w:rsidP="00FC02E7">
      <w:pPr>
        <w:rPr>
          <w:rFonts w:asciiTheme="majorHAnsi" w:hAnsiTheme="majorHAnsi"/>
          <w:color w:val="000000" w:themeColor="text1"/>
          <w:sz w:val="20"/>
          <w:szCs w:val="20"/>
          <w:vertAlign w:val="superscript"/>
        </w:rPr>
      </w:pPr>
    </w:p>
    <w:p w14:paraId="3D8206F8" w14:textId="77777777" w:rsidR="00C35AE5" w:rsidRDefault="00C35AE5" w:rsidP="00FC02E7">
      <w:pPr>
        <w:rPr>
          <w:rFonts w:asciiTheme="majorHAnsi" w:hAnsiTheme="majorHAnsi"/>
          <w:color w:val="000000" w:themeColor="text1"/>
          <w:sz w:val="20"/>
          <w:szCs w:val="20"/>
          <w:vertAlign w:val="superscript"/>
        </w:rPr>
      </w:pPr>
    </w:p>
    <w:p w14:paraId="405220B3" w14:textId="77777777" w:rsidR="00C35AE5" w:rsidRDefault="00C35AE5" w:rsidP="00FC02E7">
      <w:pPr>
        <w:rPr>
          <w:rFonts w:asciiTheme="majorHAnsi" w:hAnsiTheme="majorHAnsi"/>
          <w:color w:val="000000" w:themeColor="text1"/>
          <w:sz w:val="20"/>
          <w:szCs w:val="20"/>
          <w:vertAlign w:val="superscript"/>
        </w:rPr>
      </w:pPr>
    </w:p>
    <w:p w14:paraId="29BD4D3E" w14:textId="77777777" w:rsidR="00C35AE5" w:rsidRDefault="00C35AE5" w:rsidP="00FC02E7">
      <w:pPr>
        <w:rPr>
          <w:rFonts w:asciiTheme="majorHAnsi" w:hAnsiTheme="majorHAnsi"/>
          <w:color w:val="000000" w:themeColor="text1"/>
          <w:sz w:val="20"/>
          <w:szCs w:val="20"/>
          <w:vertAlign w:val="superscript"/>
        </w:rPr>
      </w:pPr>
    </w:p>
    <w:p w14:paraId="5E4911AC" w14:textId="77777777" w:rsidR="00C35AE5" w:rsidRDefault="00C35AE5" w:rsidP="00FC02E7">
      <w:pPr>
        <w:rPr>
          <w:rFonts w:asciiTheme="majorHAnsi" w:hAnsiTheme="majorHAnsi"/>
          <w:color w:val="000000" w:themeColor="text1"/>
          <w:sz w:val="20"/>
          <w:szCs w:val="20"/>
          <w:vertAlign w:val="superscript"/>
        </w:rPr>
      </w:pPr>
    </w:p>
    <w:p w14:paraId="3437DEA2" w14:textId="77777777" w:rsidR="00C35AE5" w:rsidRDefault="00C35AE5" w:rsidP="00FC02E7">
      <w:pPr>
        <w:rPr>
          <w:rFonts w:asciiTheme="majorHAnsi" w:hAnsiTheme="majorHAnsi"/>
          <w:color w:val="000000" w:themeColor="text1"/>
          <w:sz w:val="20"/>
          <w:szCs w:val="20"/>
          <w:vertAlign w:val="superscript"/>
        </w:rPr>
      </w:pPr>
    </w:p>
    <w:p w14:paraId="5E64BCF3" w14:textId="77777777" w:rsidR="00C35AE5" w:rsidRDefault="00C35AE5" w:rsidP="00FC02E7">
      <w:pPr>
        <w:rPr>
          <w:rFonts w:asciiTheme="majorHAnsi" w:hAnsiTheme="majorHAnsi"/>
          <w:color w:val="000000" w:themeColor="text1"/>
          <w:sz w:val="20"/>
          <w:szCs w:val="20"/>
          <w:vertAlign w:val="superscript"/>
        </w:rPr>
      </w:pPr>
    </w:p>
    <w:p w14:paraId="59B196C9" w14:textId="77777777" w:rsidR="00C35AE5" w:rsidRDefault="00C35AE5" w:rsidP="00FC02E7">
      <w:pPr>
        <w:rPr>
          <w:rFonts w:asciiTheme="majorHAnsi" w:hAnsiTheme="majorHAnsi"/>
          <w:color w:val="000000" w:themeColor="text1"/>
          <w:sz w:val="20"/>
          <w:szCs w:val="20"/>
          <w:vertAlign w:val="superscript"/>
        </w:rPr>
      </w:pPr>
    </w:p>
    <w:p w14:paraId="0CF27510" w14:textId="77777777" w:rsidR="00C35AE5" w:rsidRDefault="00C35AE5" w:rsidP="00FC02E7">
      <w:pPr>
        <w:rPr>
          <w:rFonts w:asciiTheme="majorHAnsi" w:hAnsiTheme="majorHAnsi"/>
          <w:color w:val="000000" w:themeColor="text1"/>
          <w:sz w:val="20"/>
          <w:szCs w:val="20"/>
          <w:vertAlign w:val="superscript"/>
        </w:rPr>
      </w:pPr>
    </w:p>
    <w:p w14:paraId="4C81AAB2" w14:textId="77777777" w:rsidR="00C35AE5" w:rsidRDefault="00C35AE5" w:rsidP="00FC02E7">
      <w:pPr>
        <w:rPr>
          <w:rFonts w:asciiTheme="majorHAnsi" w:hAnsiTheme="majorHAnsi"/>
          <w:color w:val="000000" w:themeColor="text1"/>
          <w:sz w:val="20"/>
          <w:szCs w:val="20"/>
          <w:vertAlign w:val="superscript"/>
        </w:rPr>
      </w:pPr>
    </w:p>
    <w:p w14:paraId="257E5E3C" w14:textId="77777777" w:rsidR="00C35AE5" w:rsidRDefault="00C35AE5" w:rsidP="00FC02E7">
      <w:pPr>
        <w:rPr>
          <w:rFonts w:asciiTheme="majorHAnsi" w:hAnsiTheme="majorHAnsi"/>
          <w:color w:val="000000" w:themeColor="text1"/>
          <w:sz w:val="20"/>
          <w:szCs w:val="20"/>
          <w:vertAlign w:val="superscript"/>
        </w:rPr>
      </w:pPr>
    </w:p>
    <w:p w14:paraId="7BF1E907" w14:textId="77777777" w:rsidR="00C35AE5" w:rsidRDefault="00C35AE5" w:rsidP="00FC02E7">
      <w:pPr>
        <w:rPr>
          <w:rFonts w:asciiTheme="majorHAnsi" w:hAnsiTheme="majorHAnsi"/>
          <w:color w:val="000000" w:themeColor="text1"/>
          <w:sz w:val="20"/>
          <w:szCs w:val="20"/>
          <w:vertAlign w:val="superscript"/>
        </w:rPr>
      </w:pPr>
    </w:p>
    <w:p w14:paraId="0A85AB74" w14:textId="77777777" w:rsidR="00C35AE5" w:rsidRDefault="00C35AE5" w:rsidP="00FC02E7">
      <w:pPr>
        <w:rPr>
          <w:rFonts w:asciiTheme="majorHAnsi" w:hAnsiTheme="majorHAnsi"/>
          <w:color w:val="000000" w:themeColor="text1"/>
          <w:sz w:val="20"/>
          <w:szCs w:val="20"/>
          <w:vertAlign w:val="superscript"/>
        </w:rPr>
      </w:pPr>
    </w:p>
    <w:p w14:paraId="450F48FF" w14:textId="77777777" w:rsidR="00C35AE5" w:rsidRDefault="00C35AE5" w:rsidP="00FC02E7">
      <w:pPr>
        <w:rPr>
          <w:rFonts w:asciiTheme="majorHAnsi" w:hAnsiTheme="majorHAnsi"/>
          <w:color w:val="000000" w:themeColor="text1"/>
          <w:sz w:val="20"/>
          <w:szCs w:val="20"/>
          <w:vertAlign w:val="superscript"/>
        </w:rPr>
      </w:pPr>
    </w:p>
    <w:p w14:paraId="76703FE4" w14:textId="77777777" w:rsidR="00C35AE5" w:rsidRDefault="00C35AE5" w:rsidP="00FC02E7">
      <w:pPr>
        <w:rPr>
          <w:rFonts w:asciiTheme="majorHAnsi" w:hAnsiTheme="majorHAnsi"/>
          <w:color w:val="000000" w:themeColor="text1"/>
          <w:sz w:val="20"/>
          <w:szCs w:val="20"/>
          <w:vertAlign w:val="superscript"/>
        </w:rPr>
      </w:pPr>
    </w:p>
    <w:p w14:paraId="4B500530" w14:textId="77777777" w:rsidR="00C35AE5" w:rsidRDefault="00C35AE5" w:rsidP="00FC02E7">
      <w:pPr>
        <w:rPr>
          <w:rFonts w:asciiTheme="majorHAnsi" w:hAnsiTheme="majorHAnsi"/>
          <w:color w:val="000000" w:themeColor="text1"/>
          <w:sz w:val="20"/>
          <w:szCs w:val="20"/>
          <w:vertAlign w:val="superscript"/>
        </w:rPr>
      </w:pPr>
    </w:p>
    <w:p w14:paraId="3DD54C1C" w14:textId="77777777" w:rsidR="00FC02E7" w:rsidRPr="007F158D" w:rsidRDefault="00FC02E7" w:rsidP="00FC02E7">
      <w:pPr>
        <w:rPr>
          <w:rFonts w:asciiTheme="majorHAnsi" w:hAnsiTheme="majorHAnsi"/>
          <w:sz w:val="18"/>
          <w:szCs w:val="18"/>
        </w:rPr>
      </w:pPr>
      <w:r w:rsidRPr="008526C3">
        <w:rPr>
          <w:rFonts w:asciiTheme="majorHAnsi" w:hAnsiTheme="majorHAnsi"/>
          <w:color w:val="000000" w:themeColor="text1"/>
          <w:sz w:val="20"/>
          <w:szCs w:val="20"/>
          <w:vertAlign w:val="superscript"/>
        </w:rPr>
        <w:t>*</w:t>
      </w:r>
      <w:r w:rsidRPr="007F158D">
        <w:rPr>
          <w:rFonts w:asciiTheme="majorHAnsi" w:hAnsiTheme="majorHAnsi"/>
          <w:color w:val="000000" w:themeColor="text1"/>
          <w:sz w:val="20"/>
          <w:szCs w:val="20"/>
        </w:rPr>
        <w:t xml:space="preserve"> </w:t>
      </w:r>
      <w:r w:rsidRPr="007F158D">
        <w:rPr>
          <w:rFonts w:asciiTheme="majorHAnsi" w:hAnsiTheme="majorHAnsi"/>
          <w:color w:val="000000" w:themeColor="text1"/>
          <w:sz w:val="18"/>
          <w:szCs w:val="18"/>
        </w:rPr>
        <w:t>Numbers include 37 individuals with estimated onset dates between 1</w:t>
      </w:r>
      <w:r w:rsidRPr="007F158D">
        <w:rPr>
          <w:rFonts w:asciiTheme="majorHAnsi" w:hAnsiTheme="majorHAnsi"/>
          <w:color w:val="000000" w:themeColor="text1"/>
          <w:sz w:val="18"/>
          <w:szCs w:val="18"/>
          <w:vertAlign w:val="superscript"/>
        </w:rPr>
        <w:t>st</w:t>
      </w:r>
      <w:r w:rsidRPr="007F158D">
        <w:rPr>
          <w:rFonts w:asciiTheme="majorHAnsi" w:hAnsiTheme="majorHAnsi"/>
          <w:color w:val="000000" w:themeColor="text1"/>
          <w:sz w:val="18"/>
          <w:szCs w:val="18"/>
        </w:rPr>
        <w:t xml:space="preserve"> January 2012 and 30</w:t>
      </w:r>
      <w:r w:rsidRPr="007F158D">
        <w:rPr>
          <w:rFonts w:asciiTheme="majorHAnsi" w:hAnsiTheme="majorHAnsi"/>
          <w:color w:val="000000" w:themeColor="text1"/>
          <w:sz w:val="18"/>
          <w:szCs w:val="18"/>
          <w:vertAlign w:val="superscript"/>
        </w:rPr>
        <w:t>th</w:t>
      </w:r>
      <w:r w:rsidRPr="007F158D">
        <w:rPr>
          <w:rFonts w:asciiTheme="majorHAnsi" w:hAnsiTheme="majorHAnsi"/>
          <w:color w:val="000000" w:themeColor="text1"/>
          <w:sz w:val="18"/>
          <w:szCs w:val="18"/>
        </w:rPr>
        <w:t xml:space="preserve"> June 2013 from known diagnosis dates and mean district onset-to-diagnosis times</w:t>
      </w:r>
    </w:p>
    <w:p w14:paraId="3AD595F4" w14:textId="77777777" w:rsidR="00FC02E7" w:rsidRPr="007F158D" w:rsidRDefault="00FC02E7" w:rsidP="00FC02E7">
      <w:pPr>
        <w:rPr>
          <w:rFonts w:asciiTheme="majorHAnsi" w:hAnsiTheme="majorHAnsi"/>
          <w:sz w:val="18"/>
          <w:szCs w:val="18"/>
        </w:rPr>
      </w:pPr>
      <w:r w:rsidRPr="008526C3">
        <w:rPr>
          <w:rFonts w:asciiTheme="majorHAnsi" w:hAnsiTheme="majorHAnsi"/>
          <w:sz w:val="20"/>
          <w:szCs w:val="20"/>
          <w:vertAlign w:val="superscript"/>
        </w:rPr>
        <w:t>*</w:t>
      </w:r>
      <w:r w:rsidRPr="008526C3">
        <w:rPr>
          <w:rFonts w:asciiTheme="majorHAnsi" w:hAnsiTheme="majorHAnsi"/>
          <w:color w:val="000000" w:themeColor="text1"/>
          <w:sz w:val="20"/>
          <w:szCs w:val="20"/>
          <w:vertAlign w:val="superscript"/>
        </w:rPr>
        <w:t>*</w:t>
      </w:r>
      <w:r w:rsidRPr="008526C3">
        <w:rPr>
          <w:rFonts w:asciiTheme="majorHAnsi" w:hAnsiTheme="majorHAnsi"/>
          <w:sz w:val="20"/>
          <w:szCs w:val="20"/>
          <w:vertAlign w:val="superscript"/>
        </w:rPr>
        <w:t xml:space="preserve"> </w:t>
      </w:r>
      <w:r w:rsidRPr="007F158D">
        <w:rPr>
          <w:rFonts w:asciiTheme="majorHAnsi" w:hAnsiTheme="majorHAnsi"/>
          <w:sz w:val="18"/>
          <w:szCs w:val="18"/>
        </w:rPr>
        <w:t>Estimated population size of affected sub-districts at 1</w:t>
      </w:r>
      <w:r w:rsidRPr="007F158D">
        <w:rPr>
          <w:rFonts w:asciiTheme="majorHAnsi" w:hAnsiTheme="majorHAnsi"/>
          <w:sz w:val="18"/>
          <w:szCs w:val="18"/>
          <w:vertAlign w:val="superscript"/>
        </w:rPr>
        <w:t>st</w:t>
      </w:r>
      <w:r w:rsidRPr="007F158D">
        <w:rPr>
          <w:rFonts w:asciiTheme="majorHAnsi" w:hAnsiTheme="majorHAnsi"/>
          <w:sz w:val="18"/>
          <w:szCs w:val="18"/>
        </w:rPr>
        <w:t xml:space="preserve"> of July 2012 and 1</w:t>
      </w:r>
      <w:r w:rsidRPr="007F158D">
        <w:rPr>
          <w:rFonts w:asciiTheme="majorHAnsi" w:hAnsiTheme="majorHAnsi"/>
          <w:sz w:val="18"/>
          <w:szCs w:val="18"/>
          <w:vertAlign w:val="superscript"/>
        </w:rPr>
        <w:t>st</w:t>
      </w:r>
      <w:r w:rsidRPr="007F158D">
        <w:rPr>
          <w:rFonts w:asciiTheme="majorHAnsi" w:hAnsiTheme="majorHAnsi"/>
          <w:sz w:val="18"/>
          <w:szCs w:val="18"/>
        </w:rPr>
        <w:t xml:space="preserve"> of April 2013.</w:t>
      </w:r>
    </w:p>
    <w:p w14:paraId="2EE69765" w14:textId="77777777" w:rsidR="00FC02E7" w:rsidRPr="007F158D" w:rsidRDefault="00FC02E7" w:rsidP="00FC02E7">
      <w:pPr>
        <w:rPr>
          <w:rFonts w:asciiTheme="majorHAnsi" w:hAnsiTheme="majorHAnsi"/>
          <w:sz w:val="18"/>
          <w:szCs w:val="18"/>
        </w:rPr>
      </w:pPr>
      <w:r w:rsidRPr="008526C3">
        <w:rPr>
          <w:rFonts w:asciiTheme="majorHAnsi" w:hAnsiTheme="majorHAnsi"/>
          <w:sz w:val="20"/>
          <w:szCs w:val="20"/>
          <w:vertAlign w:val="superscript"/>
        </w:rPr>
        <w:t>**</w:t>
      </w:r>
      <w:r w:rsidRPr="008526C3">
        <w:rPr>
          <w:rFonts w:asciiTheme="majorHAnsi" w:hAnsiTheme="majorHAnsi"/>
          <w:color w:val="000000" w:themeColor="text1"/>
          <w:sz w:val="20"/>
          <w:szCs w:val="20"/>
          <w:vertAlign w:val="superscript"/>
        </w:rPr>
        <w:t>*</w:t>
      </w:r>
      <w:r w:rsidRPr="007F158D">
        <w:rPr>
          <w:rFonts w:asciiTheme="majorHAnsi" w:hAnsiTheme="majorHAnsi"/>
          <w:sz w:val="18"/>
          <w:szCs w:val="18"/>
        </w:rPr>
        <w:t xml:space="preserve"> District level population growth rates, calculated from the Indian census data 2001-2011</w:t>
      </w:r>
      <w:r w:rsidRPr="007F158D">
        <w:rPr>
          <w:rFonts w:asciiTheme="majorHAnsi" w:hAnsiTheme="majorHAnsi"/>
          <w:sz w:val="18"/>
          <w:szCs w:val="18"/>
          <w:vertAlign w:val="superscript"/>
        </w:rPr>
        <w:br/>
        <w:t xml:space="preserve"># </w:t>
      </w:r>
      <w:r w:rsidRPr="007F158D">
        <w:rPr>
          <w:rFonts w:asciiTheme="majorHAnsi" w:hAnsiTheme="majorHAnsi"/>
          <w:sz w:val="18"/>
          <w:szCs w:val="18"/>
        </w:rPr>
        <w:t>Calculated as the total number of cases per district in 2012 divided by the population size of all affected sub-districts on the 1</w:t>
      </w:r>
      <w:r w:rsidRPr="007F158D">
        <w:rPr>
          <w:rFonts w:asciiTheme="majorHAnsi" w:hAnsiTheme="majorHAnsi"/>
          <w:sz w:val="18"/>
          <w:szCs w:val="18"/>
          <w:vertAlign w:val="superscript"/>
        </w:rPr>
        <w:t>st</w:t>
      </w:r>
      <w:r w:rsidRPr="007F158D">
        <w:rPr>
          <w:rFonts w:asciiTheme="majorHAnsi" w:hAnsiTheme="majorHAnsi"/>
          <w:sz w:val="18"/>
          <w:szCs w:val="18"/>
        </w:rPr>
        <w:t xml:space="preserve"> of July 2012 * 10,000 </w:t>
      </w:r>
    </w:p>
    <w:p w14:paraId="5F4ACACB" w14:textId="77777777" w:rsidR="00FC02E7" w:rsidRPr="007F158D" w:rsidRDefault="00FC02E7" w:rsidP="00FC02E7">
      <w:pPr>
        <w:rPr>
          <w:rFonts w:asciiTheme="majorHAnsi" w:hAnsiTheme="majorHAnsi"/>
          <w:sz w:val="18"/>
          <w:szCs w:val="18"/>
        </w:rPr>
      </w:pPr>
      <w:r w:rsidRPr="007F158D">
        <w:rPr>
          <w:rFonts w:asciiTheme="majorHAnsi" w:hAnsiTheme="majorHAnsi"/>
          <w:sz w:val="18"/>
          <w:szCs w:val="18"/>
          <w:vertAlign w:val="superscript"/>
        </w:rPr>
        <w:t xml:space="preserve">## </w:t>
      </w:r>
      <w:r w:rsidRPr="007F158D">
        <w:rPr>
          <w:rFonts w:asciiTheme="majorHAnsi" w:hAnsiTheme="majorHAnsi"/>
          <w:sz w:val="18"/>
          <w:szCs w:val="18"/>
        </w:rPr>
        <w:t>T1 = treatment 1 and T2= treatment 2</w:t>
      </w:r>
    </w:p>
    <w:p w14:paraId="246CDD3F" w14:textId="1756F801" w:rsidR="00FC02E7" w:rsidRPr="007F158D" w:rsidRDefault="00FC02E7" w:rsidP="00FC02E7">
      <w:pPr>
        <w:rPr>
          <w:rFonts w:asciiTheme="majorHAnsi" w:hAnsiTheme="majorHAnsi"/>
          <w:sz w:val="18"/>
          <w:szCs w:val="18"/>
        </w:rPr>
        <w:sectPr w:rsidR="00FC02E7" w:rsidRPr="007F158D" w:rsidSect="0075430B">
          <w:pgSz w:w="16840" w:h="11900" w:orient="landscape"/>
          <w:pgMar w:top="1800" w:right="1440" w:bottom="1800" w:left="1440" w:header="708" w:footer="708" w:gutter="0"/>
          <w:cols w:space="708"/>
          <w:docGrid w:linePitch="360"/>
        </w:sectPr>
      </w:pPr>
      <w:r w:rsidRPr="007F158D">
        <w:rPr>
          <w:rFonts w:asciiTheme="majorHAnsi" w:hAnsiTheme="majorHAnsi"/>
          <w:sz w:val="18"/>
          <w:szCs w:val="18"/>
          <w:vertAlign w:val="superscript"/>
        </w:rPr>
        <w:t xml:space="preserve">### </w:t>
      </w:r>
      <w:r w:rsidRPr="007F158D">
        <w:rPr>
          <w:rFonts w:asciiTheme="majorHAnsi" w:hAnsiTheme="majorHAnsi"/>
          <w:sz w:val="18"/>
          <w:szCs w:val="18"/>
        </w:rPr>
        <w:t xml:space="preserve">Calculated as the average of the percentage of patients houses that were sprayed in 2012 and the percentage of houses that were sprayed </w:t>
      </w:r>
      <w:r>
        <w:rPr>
          <w:rFonts w:asciiTheme="majorHAnsi" w:hAnsiTheme="majorHAnsi"/>
          <w:sz w:val="18"/>
          <w:szCs w:val="18"/>
        </w:rPr>
        <w:t xml:space="preserve">in the </w:t>
      </w:r>
      <w:proofErr w:type="spellStart"/>
      <w:r>
        <w:rPr>
          <w:rFonts w:asciiTheme="majorHAnsi" w:hAnsiTheme="majorHAnsi"/>
          <w:sz w:val="18"/>
          <w:szCs w:val="18"/>
        </w:rPr>
        <w:t>tola</w:t>
      </w:r>
      <w:proofErr w:type="spellEnd"/>
      <w:r>
        <w:rPr>
          <w:rFonts w:asciiTheme="majorHAnsi" w:hAnsiTheme="majorHAnsi"/>
          <w:sz w:val="18"/>
          <w:szCs w:val="18"/>
        </w:rPr>
        <w:t xml:space="preserve"> of patients in 2012</w:t>
      </w:r>
    </w:p>
    <w:p w14:paraId="30465589" w14:textId="7132C612" w:rsidR="00212E4E" w:rsidRPr="00797A32" w:rsidRDefault="00212E4E" w:rsidP="00797A32">
      <w:pPr>
        <w:widowControl w:val="0"/>
        <w:autoSpaceDE w:val="0"/>
        <w:autoSpaceDN w:val="0"/>
        <w:adjustRightInd w:val="0"/>
        <w:spacing w:line="240" w:lineRule="auto"/>
        <w:rPr>
          <w:rFonts w:ascii="Calibri" w:hAnsi="Calibri"/>
          <w:noProof/>
          <w:sz w:val="18"/>
          <w:szCs w:val="24"/>
        </w:rPr>
      </w:pPr>
      <w:r w:rsidRPr="007F158D">
        <w:rPr>
          <w:rFonts w:asciiTheme="majorHAnsi" w:eastAsia="Calibri" w:hAnsiTheme="majorHAnsi" w:cs="Calibri"/>
        </w:rPr>
        <w:lastRenderedPageBreak/>
        <w:t>Official data on the annual numbers of VL cases in the 8 districts</w:t>
      </w:r>
      <w:r w:rsidR="00DE240D" w:rsidRPr="007F158D">
        <w:rPr>
          <w:rFonts w:asciiTheme="majorHAnsi" w:eastAsia="Calibri" w:hAnsiTheme="majorHAnsi" w:cs="Calibri"/>
        </w:rPr>
        <w:t xml:space="preserve">, collected by Thakur </w:t>
      </w:r>
      <w:r w:rsidR="00DE240D" w:rsidRPr="007F158D">
        <w:rPr>
          <w:rFonts w:asciiTheme="majorHAnsi" w:eastAsia="Calibri" w:hAnsiTheme="majorHAnsi" w:cs="Calibri"/>
          <w:i/>
        </w:rPr>
        <w:t>et al</w:t>
      </w:r>
      <w:r w:rsidR="00797A32">
        <w:rPr>
          <w:rFonts w:asciiTheme="majorHAnsi" w:eastAsia="Calibri" w:hAnsiTheme="majorHAnsi" w:cs="Calibri"/>
        </w:rPr>
        <w:t xml:space="preserve"> </w:t>
      </w:r>
      <w:r w:rsidR="00797A32" w:rsidRPr="00797A32">
        <w:rPr>
          <w:rFonts w:asciiTheme="majorHAnsi" w:eastAsia="Calibri" w:hAnsiTheme="majorHAnsi" w:cs="Calibri"/>
          <w:color w:val="auto"/>
        </w:rPr>
        <w:t>between 2006 and 2011</w:t>
      </w:r>
      <w:r w:rsidR="00DE240D" w:rsidRPr="00797A32">
        <w:rPr>
          <w:rFonts w:asciiTheme="majorHAnsi" w:eastAsia="Calibri" w:hAnsiTheme="majorHAnsi" w:cs="Calibri"/>
          <w:color w:val="auto"/>
        </w:rPr>
        <w:t>,</w:t>
      </w:r>
      <w:r w:rsidRPr="00797A32">
        <w:rPr>
          <w:rFonts w:asciiTheme="majorHAnsi" w:eastAsia="Calibri" w:hAnsiTheme="majorHAnsi" w:cs="Calibri"/>
          <w:color w:val="auto"/>
        </w:rPr>
        <w:t xml:space="preserve"> </w:t>
      </w:r>
      <w:r w:rsidR="00DE240D" w:rsidRPr="00797A32">
        <w:rPr>
          <w:rFonts w:asciiTheme="majorHAnsi" w:eastAsia="Calibri" w:hAnsiTheme="majorHAnsi" w:cs="Calibri"/>
          <w:color w:val="auto"/>
        </w:rPr>
        <w:t xml:space="preserve">show a period of relatively constant </w:t>
      </w:r>
      <w:r w:rsidR="00180BEF" w:rsidRPr="00797A32">
        <w:rPr>
          <w:rFonts w:asciiTheme="majorHAnsi" w:eastAsia="Calibri" w:hAnsiTheme="majorHAnsi" w:cs="Calibri"/>
          <w:color w:val="auto"/>
        </w:rPr>
        <w:t>numbers of cases</w:t>
      </w:r>
      <w:r w:rsidR="00DE240D" w:rsidRPr="00797A32">
        <w:rPr>
          <w:rFonts w:asciiTheme="majorHAnsi" w:eastAsia="Calibri" w:hAnsiTheme="majorHAnsi" w:cs="Calibri"/>
          <w:color w:val="auto"/>
        </w:rPr>
        <w:t xml:space="preserve"> between 2009 and 2011</w:t>
      </w:r>
      <w:r w:rsidR="00180BEF" w:rsidRPr="00797A32">
        <w:rPr>
          <w:rFonts w:asciiTheme="majorHAnsi" w:eastAsia="Calibri" w:hAnsiTheme="majorHAnsi" w:cs="Calibri"/>
          <w:color w:val="auto"/>
        </w:rPr>
        <w:t xml:space="preserve"> (inclusive)</w:t>
      </w:r>
      <w:r w:rsidR="00DE240D" w:rsidRPr="00797A32">
        <w:rPr>
          <w:rFonts w:asciiTheme="majorHAnsi" w:eastAsia="Calibri" w:hAnsiTheme="majorHAnsi" w:cs="Calibri"/>
          <w:color w:val="auto"/>
        </w:rPr>
        <w:t xml:space="preserve">. This period of </w:t>
      </w:r>
      <w:r w:rsidR="00180BEF" w:rsidRPr="00797A32">
        <w:rPr>
          <w:rFonts w:asciiTheme="majorHAnsi" w:eastAsia="Calibri" w:hAnsiTheme="majorHAnsi" w:cs="Calibri"/>
          <w:color w:val="auto"/>
        </w:rPr>
        <w:t>relative</w:t>
      </w:r>
      <w:r w:rsidR="00DE240D" w:rsidRPr="00797A32">
        <w:rPr>
          <w:rFonts w:asciiTheme="majorHAnsi" w:eastAsia="Calibri" w:hAnsiTheme="majorHAnsi" w:cs="Calibri"/>
          <w:color w:val="auto"/>
        </w:rPr>
        <w:t xml:space="preserve"> equilibrium is followed by a</w:t>
      </w:r>
      <w:r w:rsidRPr="00797A32">
        <w:rPr>
          <w:rFonts w:asciiTheme="majorHAnsi" w:eastAsia="Calibri" w:hAnsiTheme="majorHAnsi" w:cs="Calibri"/>
          <w:color w:val="auto"/>
        </w:rPr>
        <w:t xml:space="preserve"> sharp decrease in incidence from 2011 to 2012 in the four districts with most cases (</w:t>
      </w:r>
      <w:proofErr w:type="spellStart"/>
      <w:r w:rsidRPr="00797A32">
        <w:rPr>
          <w:rFonts w:asciiTheme="majorHAnsi" w:eastAsia="Calibri" w:hAnsiTheme="majorHAnsi" w:cs="Calibri"/>
          <w:color w:val="auto"/>
        </w:rPr>
        <w:t>Saharsa</w:t>
      </w:r>
      <w:proofErr w:type="spellEnd"/>
      <w:r w:rsidRPr="00797A32">
        <w:rPr>
          <w:rFonts w:asciiTheme="majorHAnsi" w:eastAsia="Calibri" w:hAnsiTheme="majorHAnsi" w:cs="Calibri"/>
          <w:color w:val="auto"/>
        </w:rPr>
        <w:t>, E</w:t>
      </w:r>
      <w:r w:rsidR="00344A73" w:rsidRPr="00797A32">
        <w:rPr>
          <w:rFonts w:asciiTheme="majorHAnsi" w:eastAsia="Calibri" w:hAnsiTheme="majorHAnsi" w:cs="Calibri"/>
          <w:color w:val="auto"/>
        </w:rPr>
        <w:t>ast</w:t>
      </w:r>
      <w:r w:rsidRPr="00797A32">
        <w:rPr>
          <w:rFonts w:asciiTheme="majorHAnsi" w:eastAsia="Calibri" w:hAnsiTheme="majorHAnsi" w:cs="Calibri"/>
          <w:color w:val="auto"/>
        </w:rPr>
        <w:t xml:space="preserve"> </w:t>
      </w:r>
      <w:proofErr w:type="spellStart"/>
      <w:r w:rsidRPr="00797A32">
        <w:rPr>
          <w:rFonts w:asciiTheme="majorHAnsi" w:eastAsia="Calibri" w:hAnsiTheme="majorHAnsi" w:cs="Calibri"/>
          <w:color w:val="auto"/>
        </w:rPr>
        <w:t>Champaran</w:t>
      </w:r>
      <w:proofErr w:type="spellEnd"/>
      <w:r w:rsidRPr="00797A32">
        <w:rPr>
          <w:rFonts w:asciiTheme="majorHAnsi" w:eastAsia="Calibri" w:hAnsiTheme="majorHAnsi" w:cs="Calibri"/>
          <w:color w:val="auto"/>
        </w:rPr>
        <w:t xml:space="preserve">, </w:t>
      </w:r>
      <w:proofErr w:type="spellStart"/>
      <w:r w:rsidRPr="00797A32">
        <w:rPr>
          <w:rFonts w:asciiTheme="majorHAnsi" w:eastAsia="Calibri" w:hAnsiTheme="majorHAnsi" w:cs="Calibri"/>
          <w:color w:val="auto"/>
        </w:rPr>
        <w:t>Samastipur</w:t>
      </w:r>
      <w:proofErr w:type="spellEnd"/>
      <w:r w:rsidRPr="00797A32">
        <w:rPr>
          <w:rFonts w:asciiTheme="majorHAnsi" w:eastAsia="Calibri" w:hAnsiTheme="majorHAnsi" w:cs="Calibri"/>
          <w:color w:val="auto"/>
        </w:rPr>
        <w:t xml:space="preserve"> and </w:t>
      </w:r>
      <w:proofErr w:type="spellStart"/>
      <w:r w:rsidRPr="00797A32">
        <w:rPr>
          <w:rFonts w:asciiTheme="majorHAnsi" w:eastAsia="Calibri" w:hAnsiTheme="majorHAnsi" w:cs="Calibri"/>
          <w:color w:val="auto"/>
        </w:rPr>
        <w:t>Gopalganj</w:t>
      </w:r>
      <w:proofErr w:type="spellEnd"/>
      <w:r w:rsidRPr="00797A32">
        <w:rPr>
          <w:rFonts w:asciiTheme="majorHAnsi" w:eastAsia="Calibri" w:hAnsiTheme="majorHAnsi" w:cs="Calibri"/>
          <w:color w:val="auto"/>
        </w:rPr>
        <w:t>)</w:t>
      </w:r>
      <w:r w:rsidR="00FB4E90" w:rsidRPr="00797A32">
        <w:rPr>
          <w:rFonts w:asciiTheme="majorHAnsi" w:eastAsia="Calibri" w:hAnsiTheme="majorHAnsi" w:cs="Calibri"/>
          <w:color w:val="auto"/>
        </w:rPr>
        <w:t xml:space="preserve"> (</w:t>
      </w:r>
      <w:r w:rsidR="00C35AE5">
        <w:rPr>
          <w:rFonts w:asciiTheme="majorHAnsi" w:eastAsia="Calibri" w:hAnsiTheme="majorHAnsi" w:cs="Calibri"/>
          <w:color w:val="auto"/>
        </w:rPr>
        <w:fldChar w:fldCharType="begin"/>
      </w:r>
      <w:r w:rsidR="00C35AE5">
        <w:rPr>
          <w:rFonts w:asciiTheme="majorHAnsi" w:eastAsia="Calibri" w:hAnsiTheme="majorHAnsi" w:cs="Calibri"/>
          <w:color w:val="auto"/>
        </w:rPr>
        <w:instrText xml:space="preserve"> REF _Ref344536279 \h </w:instrText>
      </w:r>
      <w:r w:rsidR="00C35AE5">
        <w:rPr>
          <w:rFonts w:asciiTheme="majorHAnsi" w:eastAsia="Calibri" w:hAnsiTheme="majorHAnsi" w:cs="Calibri"/>
          <w:color w:val="auto"/>
        </w:rPr>
      </w:r>
      <w:r w:rsidR="00C35AE5">
        <w:rPr>
          <w:rFonts w:asciiTheme="majorHAnsi" w:eastAsia="Calibri" w:hAnsiTheme="majorHAnsi" w:cs="Calibri"/>
          <w:color w:val="auto"/>
        </w:rPr>
        <w:fldChar w:fldCharType="separate"/>
      </w:r>
      <w:r w:rsidR="00C35AE5" w:rsidRPr="007F158D">
        <w:rPr>
          <w:rFonts w:asciiTheme="majorHAnsi" w:hAnsiTheme="majorHAnsi"/>
          <w:color w:val="auto"/>
        </w:rPr>
        <w:t xml:space="preserve">Figure </w:t>
      </w:r>
      <w:r w:rsidR="00C35AE5">
        <w:rPr>
          <w:rFonts w:asciiTheme="majorHAnsi" w:hAnsiTheme="majorHAnsi"/>
          <w:color w:val="auto"/>
        </w:rPr>
        <w:t>S</w:t>
      </w:r>
      <w:r w:rsidR="00C35AE5">
        <w:rPr>
          <w:rFonts w:asciiTheme="majorHAnsi" w:hAnsiTheme="majorHAnsi"/>
          <w:noProof/>
          <w:color w:val="auto"/>
        </w:rPr>
        <w:t>2</w:t>
      </w:r>
      <w:r w:rsidR="00C35AE5">
        <w:rPr>
          <w:rFonts w:asciiTheme="majorHAnsi" w:eastAsia="Calibri" w:hAnsiTheme="majorHAnsi" w:cs="Calibri"/>
          <w:color w:val="auto"/>
        </w:rPr>
        <w:fldChar w:fldCharType="end"/>
      </w:r>
      <w:r w:rsidR="00FB4E90" w:rsidRPr="00797A32">
        <w:rPr>
          <w:rFonts w:asciiTheme="majorHAnsi" w:eastAsia="Calibri" w:hAnsiTheme="majorHAnsi" w:cs="Calibri"/>
          <w:color w:val="auto"/>
        </w:rPr>
        <w:t>).</w:t>
      </w:r>
      <w:r w:rsidRPr="00797A32">
        <w:rPr>
          <w:rFonts w:asciiTheme="majorHAnsi" w:eastAsia="Calibri" w:hAnsiTheme="majorHAnsi" w:cs="Calibri"/>
          <w:color w:val="auto"/>
        </w:rPr>
        <w:t xml:space="preserve"> </w:t>
      </w:r>
      <w:r w:rsidR="00FB4E90" w:rsidRPr="00797A32">
        <w:rPr>
          <w:rFonts w:asciiTheme="majorHAnsi" w:eastAsia="Calibri" w:hAnsiTheme="majorHAnsi" w:cs="Calibri"/>
          <w:color w:val="auto"/>
        </w:rPr>
        <w:t>The districts</w:t>
      </w:r>
      <w:r w:rsidR="00344A73" w:rsidRPr="00797A32">
        <w:rPr>
          <w:rFonts w:asciiTheme="majorHAnsi" w:eastAsia="Calibri" w:hAnsiTheme="majorHAnsi" w:cs="Calibri"/>
          <w:color w:val="auto"/>
        </w:rPr>
        <w:t xml:space="preserve"> </w:t>
      </w:r>
      <w:r w:rsidR="00180BEF" w:rsidRPr="00797A32">
        <w:rPr>
          <w:rFonts w:asciiTheme="majorHAnsi" w:eastAsia="Calibri" w:hAnsiTheme="majorHAnsi" w:cs="Calibri"/>
          <w:color w:val="auto"/>
        </w:rPr>
        <w:t>with lower numbers of cases –</w:t>
      </w:r>
      <w:r w:rsidR="00344A73" w:rsidRPr="00797A32">
        <w:rPr>
          <w:rFonts w:asciiTheme="majorHAnsi" w:eastAsia="Calibri" w:hAnsiTheme="majorHAnsi" w:cs="Calibri"/>
          <w:color w:val="auto"/>
        </w:rPr>
        <w:t xml:space="preserve"> </w:t>
      </w:r>
      <w:proofErr w:type="spellStart"/>
      <w:r w:rsidR="00344A73" w:rsidRPr="00797A32">
        <w:rPr>
          <w:rFonts w:asciiTheme="majorHAnsi" w:eastAsia="Calibri" w:hAnsiTheme="majorHAnsi" w:cs="Calibri"/>
          <w:color w:val="auto"/>
        </w:rPr>
        <w:t>Begusarai</w:t>
      </w:r>
      <w:proofErr w:type="spellEnd"/>
      <w:r w:rsidR="00344A73" w:rsidRPr="00797A32">
        <w:rPr>
          <w:rFonts w:asciiTheme="majorHAnsi" w:eastAsia="Calibri" w:hAnsiTheme="majorHAnsi" w:cs="Calibri"/>
          <w:color w:val="auto"/>
        </w:rPr>
        <w:t xml:space="preserve">, </w:t>
      </w:r>
      <w:proofErr w:type="spellStart"/>
      <w:r w:rsidR="00344A73" w:rsidRPr="00797A32">
        <w:rPr>
          <w:rFonts w:asciiTheme="majorHAnsi" w:eastAsia="Calibri" w:hAnsiTheme="majorHAnsi" w:cs="Calibri"/>
          <w:color w:val="auto"/>
        </w:rPr>
        <w:t>Khagaria</w:t>
      </w:r>
      <w:proofErr w:type="spellEnd"/>
      <w:r w:rsidR="00344A73" w:rsidRPr="00797A32">
        <w:rPr>
          <w:rFonts w:asciiTheme="majorHAnsi" w:eastAsia="Calibri" w:hAnsiTheme="majorHAnsi" w:cs="Calibri"/>
          <w:color w:val="auto"/>
        </w:rPr>
        <w:t xml:space="preserve">, Patna and West </w:t>
      </w:r>
      <w:proofErr w:type="spellStart"/>
      <w:r w:rsidR="00344A73" w:rsidRPr="00797A32">
        <w:rPr>
          <w:rFonts w:asciiTheme="majorHAnsi" w:eastAsia="Calibri" w:hAnsiTheme="majorHAnsi" w:cs="Calibri"/>
          <w:color w:val="auto"/>
        </w:rPr>
        <w:t>Champaran</w:t>
      </w:r>
      <w:proofErr w:type="spellEnd"/>
      <w:r w:rsidR="00FB4E90" w:rsidRPr="00797A32">
        <w:rPr>
          <w:rFonts w:asciiTheme="majorHAnsi" w:eastAsia="Calibri" w:hAnsiTheme="majorHAnsi" w:cs="Calibri"/>
          <w:color w:val="auto"/>
        </w:rPr>
        <w:t xml:space="preserve"> </w:t>
      </w:r>
      <w:r w:rsidR="00180BEF" w:rsidRPr="00797A32">
        <w:rPr>
          <w:rFonts w:asciiTheme="majorHAnsi" w:eastAsia="Calibri" w:hAnsiTheme="majorHAnsi" w:cs="Calibri"/>
          <w:color w:val="auto"/>
        </w:rPr>
        <w:t xml:space="preserve">– </w:t>
      </w:r>
      <w:r w:rsidR="00FB4E90" w:rsidRPr="00797A32">
        <w:rPr>
          <w:rFonts w:asciiTheme="majorHAnsi" w:eastAsia="Calibri" w:hAnsiTheme="majorHAnsi" w:cs="Calibri"/>
          <w:color w:val="auto"/>
        </w:rPr>
        <w:t>also show a decrease in cases</w:t>
      </w:r>
      <w:r w:rsidR="00DE240D" w:rsidRPr="00797A32">
        <w:rPr>
          <w:rFonts w:asciiTheme="majorHAnsi" w:eastAsia="Calibri" w:hAnsiTheme="majorHAnsi" w:cs="Calibri"/>
          <w:color w:val="auto"/>
        </w:rPr>
        <w:t>, but less steep</w:t>
      </w:r>
      <w:r w:rsidR="00344A73" w:rsidRPr="00797A32">
        <w:rPr>
          <w:rFonts w:asciiTheme="majorHAnsi" w:eastAsia="Calibri" w:hAnsiTheme="majorHAnsi" w:cs="Calibri"/>
          <w:color w:val="auto"/>
        </w:rPr>
        <w:t xml:space="preserve">. </w:t>
      </w:r>
      <w:r w:rsidR="001C1AAD" w:rsidRPr="00797A32">
        <w:rPr>
          <w:rFonts w:asciiTheme="majorHAnsi" w:eastAsia="Calibri" w:hAnsiTheme="majorHAnsi" w:cs="Calibri"/>
          <w:color w:val="auto"/>
        </w:rPr>
        <w:t xml:space="preserve">All </w:t>
      </w:r>
      <w:r w:rsidR="00DE240D" w:rsidRPr="00797A32">
        <w:rPr>
          <w:rFonts w:asciiTheme="majorHAnsi" w:eastAsia="Calibri" w:hAnsiTheme="majorHAnsi" w:cs="Calibri"/>
          <w:color w:val="auto"/>
        </w:rPr>
        <w:t xml:space="preserve">8 </w:t>
      </w:r>
      <w:r w:rsidR="001C1AAD" w:rsidRPr="00797A32">
        <w:rPr>
          <w:rFonts w:asciiTheme="majorHAnsi" w:eastAsia="Calibri" w:hAnsiTheme="majorHAnsi" w:cs="Calibri"/>
          <w:color w:val="auto"/>
        </w:rPr>
        <w:t xml:space="preserve">districts </w:t>
      </w:r>
      <w:r w:rsidR="00DE240D" w:rsidRPr="00797A32">
        <w:rPr>
          <w:rFonts w:asciiTheme="majorHAnsi" w:eastAsia="Calibri" w:hAnsiTheme="majorHAnsi" w:cs="Calibri"/>
          <w:color w:val="auto"/>
        </w:rPr>
        <w:t>experienced</w:t>
      </w:r>
      <w:r w:rsidR="001C1AAD" w:rsidRPr="00797A32">
        <w:rPr>
          <w:rFonts w:asciiTheme="majorHAnsi" w:eastAsia="Calibri" w:hAnsiTheme="majorHAnsi" w:cs="Calibri"/>
          <w:color w:val="auto"/>
        </w:rPr>
        <w:t xml:space="preserve"> a smaller decrease in the following period </w:t>
      </w:r>
      <w:r w:rsidR="00DE240D" w:rsidRPr="00797A32">
        <w:rPr>
          <w:rFonts w:asciiTheme="majorHAnsi" w:eastAsia="Calibri" w:hAnsiTheme="majorHAnsi" w:cs="Calibri"/>
          <w:color w:val="auto"/>
        </w:rPr>
        <w:t>between 2012 and</w:t>
      </w:r>
      <w:r w:rsidR="001C1AAD" w:rsidRPr="00797A32">
        <w:rPr>
          <w:rFonts w:asciiTheme="majorHAnsi" w:eastAsia="Calibri" w:hAnsiTheme="majorHAnsi" w:cs="Calibri"/>
          <w:color w:val="auto"/>
        </w:rPr>
        <w:t xml:space="preserve"> 2013. </w:t>
      </w:r>
      <w:r w:rsidRPr="00797A32">
        <w:rPr>
          <w:rFonts w:asciiTheme="majorHAnsi" w:eastAsia="Calibri" w:hAnsiTheme="majorHAnsi" w:cs="Calibri"/>
          <w:color w:val="auto"/>
        </w:rPr>
        <w:t>The numbers of cases in each district in 2012 recorded in the CARE data agree well with the official figures</w:t>
      </w:r>
      <w:r w:rsidR="006753DF" w:rsidRPr="00797A32">
        <w:rPr>
          <w:rFonts w:asciiTheme="majorHAnsi" w:eastAsia="Calibri" w:hAnsiTheme="majorHAnsi" w:cs="Calibri"/>
          <w:color w:val="auto"/>
        </w:rPr>
        <w:t xml:space="preserve"> as presented by </w:t>
      </w:r>
      <w:r w:rsidR="00797A32" w:rsidRPr="00797A32">
        <w:rPr>
          <w:rFonts w:asciiTheme="majorHAnsi" w:eastAsia="Calibri" w:hAnsiTheme="majorHAnsi" w:cs="Calibri"/>
          <w:color w:val="auto"/>
        </w:rPr>
        <w:t xml:space="preserve">the </w:t>
      </w:r>
      <w:r w:rsidR="00797A32">
        <w:rPr>
          <w:rFonts w:ascii="Calibri" w:hAnsi="Calibri"/>
          <w:noProof/>
          <w:color w:val="auto"/>
        </w:rPr>
        <w:t xml:space="preserve">State Surveillance Unit of the State Health Society Bihar </w:t>
      </w:r>
      <w:r w:rsidR="00797A32">
        <w:rPr>
          <w:rFonts w:ascii="Calibri" w:hAnsi="Calibri"/>
          <w:noProof/>
          <w:color w:val="auto"/>
        </w:rPr>
        <w:fldChar w:fldCharType="begin" w:fldLock="1"/>
      </w:r>
      <w:r w:rsidR="00D87616">
        <w:rPr>
          <w:rFonts w:ascii="Calibri" w:hAnsi="Calibri"/>
          <w:noProof/>
          <w:color w:val="auto"/>
        </w:rPr>
        <w:instrText>ADDIN CSL_CITATION { "citationItems" : [ { "id" : "ITEM-1", "itemData" : { "author" : [ { "dropping-particle" : "", "family" : "State Surveillance Unit", "given" : "", "non-dropping-particle" : "", "parse-names" : false, "suffix" : "" }, { "dropping-particle" : "", "family" : "State Health Society Bihar", "given" : "", "non-dropping-particle" : "", "parse-names" : false, "suffix" : "" } ], "id" : "ITEM-1", "issued" : { "date-parts" : [ [ "2012" ] ] }, "title" : "Annual Communicable Disease Surveillance Report, 2012 Bihar", "type" : "report" }, "uris" : [ "http://www.mendeley.com/documents/?uuid=851f2ea5-e95a-4cf9-9562-0ef7c4031338" ] } ], "mendeley" : { "formattedCitation" : "(7)", "plainTextFormattedCitation" : "(7)", "previouslyFormattedCitation" : "(7)" }, "properties" : { "noteIndex" : 0 }, "schema" : "https://github.com/citation-style-language/schema/raw/master/csl-citation.json" }</w:instrText>
      </w:r>
      <w:r w:rsidR="00797A32">
        <w:rPr>
          <w:rFonts w:ascii="Calibri" w:hAnsi="Calibri"/>
          <w:noProof/>
          <w:color w:val="auto"/>
        </w:rPr>
        <w:fldChar w:fldCharType="separate"/>
      </w:r>
      <w:r w:rsidR="00797A32" w:rsidRPr="00797A32">
        <w:rPr>
          <w:rFonts w:ascii="Calibri" w:hAnsi="Calibri"/>
          <w:noProof/>
          <w:color w:val="auto"/>
        </w:rPr>
        <w:t>(7)</w:t>
      </w:r>
      <w:r w:rsidR="00797A32">
        <w:rPr>
          <w:rFonts w:ascii="Calibri" w:hAnsi="Calibri"/>
          <w:noProof/>
          <w:color w:val="auto"/>
        </w:rPr>
        <w:fldChar w:fldCharType="end"/>
      </w:r>
      <w:r w:rsidR="00797A32" w:rsidRPr="00797A32">
        <w:rPr>
          <w:rFonts w:ascii="Calibri" w:hAnsi="Calibri"/>
          <w:noProof/>
          <w:color w:val="auto"/>
        </w:rPr>
        <w:t xml:space="preserve"> </w:t>
      </w:r>
      <w:r w:rsidRPr="00797A32">
        <w:rPr>
          <w:rFonts w:asciiTheme="majorHAnsi" w:eastAsia="Calibri" w:hAnsiTheme="majorHAnsi" w:cs="Calibri"/>
          <w:color w:val="auto"/>
        </w:rPr>
        <w:t xml:space="preserve">except for </w:t>
      </w:r>
      <w:proofErr w:type="spellStart"/>
      <w:r w:rsidRPr="00797A32">
        <w:rPr>
          <w:rFonts w:asciiTheme="majorHAnsi" w:eastAsia="Calibri" w:hAnsiTheme="majorHAnsi" w:cs="Calibri"/>
          <w:color w:val="auto"/>
        </w:rPr>
        <w:t>Samastipur</w:t>
      </w:r>
      <w:proofErr w:type="spellEnd"/>
      <w:r w:rsidRPr="00797A32">
        <w:rPr>
          <w:rFonts w:asciiTheme="majorHAnsi" w:eastAsia="Calibri" w:hAnsiTheme="majorHAnsi" w:cs="Calibri"/>
          <w:color w:val="auto"/>
        </w:rPr>
        <w:t xml:space="preserve">, for which the number from the CARE data appears to be a considerable underestimate. </w:t>
      </w:r>
      <w:r w:rsidR="00C35AE5">
        <w:rPr>
          <w:rFonts w:asciiTheme="majorHAnsi" w:eastAsia="Calibri" w:hAnsiTheme="majorHAnsi" w:cs="Calibri"/>
          <w:color w:val="auto"/>
        </w:rPr>
        <w:fldChar w:fldCharType="begin"/>
      </w:r>
      <w:r w:rsidR="00C35AE5">
        <w:rPr>
          <w:rFonts w:asciiTheme="majorHAnsi" w:eastAsia="Calibri" w:hAnsiTheme="majorHAnsi" w:cs="Calibri"/>
          <w:color w:val="auto"/>
        </w:rPr>
        <w:instrText xml:space="preserve"> REF _Ref344536296 \h </w:instrText>
      </w:r>
      <w:r w:rsidR="00C35AE5">
        <w:rPr>
          <w:rFonts w:asciiTheme="majorHAnsi" w:eastAsia="Calibri" w:hAnsiTheme="majorHAnsi" w:cs="Calibri"/>
          <w:color w:val="auto"/>
        </w:rPr>
      </w:r>
      <w:r w:rsidR="00C35AE5">
        <w:rPr>
          <w:rFonts w:asciiTheme="majorHAnsi" w:eastAsia="Calibri" w:hAnsiTheme="majorHAnsi" w:cs="Calibri"/>
          <w:color w:val="auto"/>
        </w:rPr>
        <w:fldChar w:fldCharType="separate"/>
      </w:r>
      <w:r w:rsidR="00C35AE5" w:rsidRPr="007F158D">
        <w:rPr>
          <w:rFonts w:asciiTheme="majorHAnsi" w:hAnsiTheme="majorHAnsi"/>
          <w:color w:val="auto"/>
        </w:rPr>
        <w:t xml:space="preserve">Figure </w:t>
      </w:r>
      <w:r w:rsidR="00C35AE5">
        <w:rPr>
          <w:rFonts w:asciiTheme="majorHAnsi" w:hAnsiTheme="majorHAnsi"/>
          <w:color w:val="auto"/>
        </w:rPr>
        <w:t>S</w:t>
      </w:r>
      <w:r w:rsidR="00C35AE5">
        <w:rPr>
          <w:rFonts w:asciiTheme="majorHAnsi" w:hAnsiTheme="majorHAnsi"/>
          <w:noProof/>
          <w:color w:val="auto"/>
        </w:rPr>
        <w:t>3</w:t>
      </w:r>
      <w:r w:rsidR="00C35AE5">
        <w:rPr>
          <w:rFonts w:asciiTheme="majorHAnsi" w:eastAsia="Calibri" w:hAnsiTheme="majorHAnsi" w:cs="Calibri"/>
          <w:color w:val="auto"/>
        </w:rPr>
        <w:fldChar w:fldCharType="end"/>
      </w:r>
      <w:r w:rsidR="00C35AE5">
        <w:rPr>
          <w:rFonts w:asciiTheme="majorHAnsi" w:eastAsia="Calibri" w:hAnsiTheme="majorHAnsi" w:cs="Calibri"/>
          <w:color w:val="auto"/>
        </w:rPr>
        <w:t xml:space="preserve"> </w:t>
      </w:r>
      <w:r w:rsidRPr="00797A32">
        <w:rPr>
          <w:rFonts w:asciiTheme="majorHAnsi" w:eastAsia="Calibri" w:hAnsiTheme="majorHAnsi" w:cs="Calibri"/>
          <w:color w:val="auto"/>
        </w:rPr>
        <w:t>shows the monthly numbers of VL diagnoses for all of Bihar from 2009 to 2012, which as in the CARE data have a clear</w:t>
      </w:r>
      <w:r w:rsidRPr="007F158D">
        <w:rPr>
          <w:rFonts w:asciiTheme="majorHAnsi" w:eastAsia="Calibri" w:hAnsiTheme="majorHAnsi" w:cs="Calibri"/>
        </w:rPr>
        <w:t xml:space="preserve"> seasonal pattern, with a peak between March and May (</w:t>
      </w:r>
      <w:r w:rsidR="00AD04DF" w:rsidRPr="007F158D">
        <w:rPr>
          <w:rFonts w:asciiTheme="majorHAnsi" w:eastAsia="Calibri" w:hAnsiTheme="majorHAnsi" w:cs="Calibri"/>
        </w:rPr>
        <w:t xml:space="preserve">which is </w:t>
      </w:r>
      <w:r w:rsidRPr="007F158D">
        <w:rPr>
          <w:rFonts w:asciiTheme="majorHAnsi" w:eastAsia="Calibri" w:hAnsiTheme="majorHAnsi" w:cs="Calibri"/>
        </w:rPr>
        <w:t xml:space="preserve">later than the peak in onsets due to the delay between onset and diagnosis). These data also show that the seasonal pattern </w:t>
      </w:r>
      <w:r w:rsidR="000E19E6">
        <w:rPr>
          <w:rFonts w:asciiTheme="majorHAnsi" w:eastAsia="Calibri" w:hAnsiTheme="majorHAnsi" w:cs="Calibri"/>
        </w:rPr>
        <w:t xml:space="preserve">in Bihar </w:t>
      </w:r>
      <w:r w:rsidRPr="007F158D">
        <w:rPr>
          <w:rFonts w:asciiTheme="majorHAnsi" w:eastAsia="Calibri" w:hAnsiTheme="majorHAnsi" w:cs="Calibri"/>
        </w:rPr>
        <w:t xml:space="preserve">at state level was different for 2012, with a smaller peak in cases than in previous years followed by a large decrease in incidence over the rest of the year. This corresponds well with the general downward trend in cases at district level in 2012 observed in the CARE data, but suggests that the 2012 CARE data may not be representative of the `typical’ annual seasonal pattern. </w:t>
      </w:r>
    </w:p>
    <w:p w14:paraId="154C3FC4" w14:textId="77777777" w:rsidR="00212E4E" w:rsidRDefault="00212E4E" w:rsidP="00212E4E">
      <w:pPr>
        <w:pStyle w:val="normal0"/>
        <w:rPr>
          <w:rFonts w:asciiTheme="majorHAnsi" w:hAnsiTheme="majorHAnsi"/>
        </w:rPr>
      </w:pPr>
    </w:p>
    <w:p w14:paraId="41D5949B" w14:textId="77777777" w:rsidR="000872C1" w:rsidRPr="007F158D" w:rsidRDefault="000872C1" w:rsidP="000872C1">
      <w:pPr>
        <w:rPr>
          <w:rFonts w:asciiTheme="majorHAnsi" w:hAnsiTheme="majorHAnsi" w:cs="Helvetica"/>
          <w:b/>
          <w:noProof/>
          <w:sz w:val="18"/>
          <w:szCs w:val="18"/>
        </w:rPr>
      </w:pPr>
      <w:r w:rsidRPr="00C35AE5">
        <w:rPr>
          <w:rFonts w:asciiTheme="majorHAnsi" w:hAnsiTheme="majorHAnsi"/>
          <w:noProof/>
        </w:rPr>
        <w:drawing>
          <wp:inline distT="0" distB="0" distL="0" distR="0" wp14:anchorId="4E957A96" wp14:editId="30F47535">
            <wp:extent cx="5054817" cy="2735278"/>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7122" cy="2736525"/>
                    </a:xfrm>
                    <a:prstGeom prst="rect">
                      <a:avLst/>
                    </a:prstGeom>
                    <a:noFill/>
                    <a:ln>
                      <a:noFill/>
                    </a:ln>
                  </pic:spPr>
                </pic:pic>
              </a:graphicData>
            </a:graphic>
          </wp:inline>
        </w:drawing>
      </w:r>
    </w:p>
    <w:p w14:paraId="6E945F54" w14:textId="490897B5" w:rsidR="00D87616" w:rsidRDefault="000872C1" w:rsidP="00C35AE5">
      <w:pPr>
        <w:pStyle w:val="Caption"/>
      </w:pPr>
      <w:bookmarkStart w:id="2" w:name="_Ref344536279"/>
      <w:r w:rsidRPr="007F158D">
        <w:rPr>
          <w:rFonts w:asciiTheme="majorHAnsi" w:hAnsiTheme="majorHAnsi"/>
          <w:color w:val="auto"/>
        </w:rPr>
        <w:t xml:space="preserve">Figure </w:t>
      </w:r>
      <w:r>
        <w:rPr>
          <w:rFonts w:asciiTheme="majorHAnsi" w:hAnsiTheme="majorHAnsi"/>
          <w:color w:val="auto"/>
        </w:rPr>
        <w:t>S</w:t>
      </w:r>
      <w:r w:rsidRPr="007F158D">
        <w:rPr>
          <w:rFonts w:asciiTheme="majorHAnsi" w:hAnsiTheme="majorHAnsi"/>
          <w:color w:val="auto"/>
        </w:rPr>
        <w:fldChar w:fldCharType="begin"/>
      </w:r>
      <w:r w:rsidRPr="007F158D">
        <w:rPr>
          <w:rFonts w:asciiTheme="majorHAnsi" w:hAnsiTheme="majorHAnsi"/>
          <w:color w:val="auto"/>
        </w:rPr>
        <w:instrText xml:space="preserve"> SEQ Figure \* ARABIC </w:instrText>
      </w:r>
      <w:r w:rsidRPr="007F158D">
        <w:rPr>
          <w:rFonts w:asciiTheme="majorHAnsi" w:hAnsiTheme="majorHAnsi"/>
          <w:color w:val="auto"/>
        </w:rPr>
        <w:fldChar w:fldCharType="separate"/>
      </w:r>
      <w:r>
        <w:rPr>
          <w:rFonts w:asciiTheme="majorHAnsi" w:hAnsiTheme="majorHAnsi"/>
          <w:noProof/>
          <w:color w:val="auto"/>
        </w:rPr>
        <w:t>2</w:t>
      </w:r>
      <w:r w:rsidRPr="007F158D">
        <w:rPr>
          <w:rFonts w:asciiTheme="majorHAnsi" w:hAnsiTheme="majorHAnsi"/>
          <w:color w:val="auto"/>
        </w:rPr>
        <w:fldChar w:fldCharType="end"/>
      </w:r>
      <w:bookmarkEnd w:id="2"/>
      <w:r w:rsidRPr="007F158D">
        <w:rPr>
          <w:rFonts w:asciiTheme="majorHAnsi" w:hAnsiTheme="majorHAnsi"/>
          <w:color w:val="auto"/>
        </w:rPr>
        <w:t xml:space="preserve">. Yearly numbers of cases in </w:t>
      </w:r>
      <w:r>
        <w:rPr>
          <w:rFonts w:asciiTheme="majorHAnsi" w:hAnsiTheme="majorHAnsi"/>
          <w:color w:val="auto"/>
        </w:rPr>
        <w:t>8 districts in</w:t>
      </w:r>
      <w:r w:rsidRPr="007F158D">
        <w:rPr>
          <w:rFonts w:asciiTheme="majorHAnsi" w:hAnsiTheme="majorHAnsi"/>
          <w:color w:val="auto"/>
        </w:rPr>
        <w:t xml:space="preserve"> Bihar </w:t>
      </w:r>
      <w:r>
        <w:rPr>
          <w:rFonts w:asciiTheme="majorHAnsi" w:hAnsiTheme="majorHAnsi"/>
          <w:color w:val="auto"/>
        </w:rPr>
        <w:t>from</w:t>
      </w:r>
      <w:r w:rsidRPr="007F158D">
        <w:rPr>
          <w:rFonts w:asciiTheme="majorHAnsi" w:hAnsiTheme="majorHAnsi"/>
          <w:color w:val="auto"/>
        </w:rPr>
        <w:t xml:space="preserve"> 200</w:t>
      </w:r>
      <w:r>
        <w:rPr>
          <w:rFonts w:asciiTheme="majorHAnsi" w:hAnsiTheme="majorHAnsi"/>
          <w:color w:val="auto"/>
        </w:rPr>
        <w:t xml:space="preserve">6 to </w:t>
      </w:r>
      <w:r w:rsidRPr="007F158D">
        <w:rPr>
          <w:rFonts w:asciiTheme="majorHAnsi" w:hAnsiTheme="majorHAnsi"/>
          <w:color w:val="auto"/>
        </w:rPr>
        <w:t>201</w:t>
      </w:r>
      <w:r>
        <w:rPr>
          <w:rFonts w:asciiTheme="majorHAnsi" w:hAnsiTheme="majorHAnsi"/>
          <w:color w:val="auto"/>
        </w:rPr>
        <w:t>1</w:t>
      </w:r>
      <w:r w:rsidRPr="007F158D">
        <w:rPr>
          <w:rFonts w:asciiTheme="majorHAnsi" w:hAnsiTheme="majorHAnsi"/>
          <w:color w:val="auto"/>
        </w:rPr>
        <w:t xml:space="preserve"> from Thakur </w:t>
      </w:r>
      <w:r w:rsidRPr="007F158D">
        <w:rPr>
          <w:rFonts w:asciiTheme="majorHAnsi" w:hAnsiTheme="majorHAnsi"/>
          <w:i/>
          <w:color w:val="auto"/>
        </w:rPr>
        <w:t>et al</w:t>
      </w:r>
      <w:r w:rsidRPr="007F158D">
        <w:rPr>
          <w:rFonts w:asciiTheme="majorHAnsi" w:hAnsiTheme="majorHAnsi"/>
          <w:color w:val="auto"/>
        </w:rPr>
        <w:t xml:space="preserve"> </w:t>
      </w:r>
      <w:r w:rsidRPr="007F158D">
        <w:rPr>
          <w:rFonts w:asciiTheme="majorHAnsi" w:hAnsiTheme="majorHAnsi"/>
          <w:color w:val="auto"/>
        </w:rPr>
        <w:fldChar w:fldCharType="begin" w:fldLock="1"/>
      </w:r>
      <w:r>
        <w:rPr>
          <w:rFonts w:asciiTheme="majorHAnsi" w:hAnsiTheme="majorHAnsi"/>
          <w:color w:val="auto"/>
        </w:rPr>
        <w:instrText>ADDIN CSL_CITATION { "citationItems" : [ { "id" : "ITEM-1", "itemData" : { "author" : [ { "dropping-particle" : "", "family" : "Thakur", "given" : "Chandreshwar P", "non-dropping-particle" : "", "parse-names" : false, "suffix" : "" }, { "dropping-particle" : "", "family" : "Kumar", "given" : "Amit", "non-dropping-particle" : "", "parse-names" : false, "suffix" : "" }, { "dropping-particle" : "", "family" : "Kumar", "given" : "Anant", "non-dropping-particle" : "", "parse-names" : false, "suffix" : "" }, { "dropping-particle" : "", "family" : "Sinha", "given" : "Kanishk", "non-dropping-particle" : "", "parse-names" : false, "suffix" : "" }, { "dropping-particle" : "", "family" : "Thakur", "given" : "Shabnam", "non-dropping-particle" : "", "parse-names" : false, "suffix" : "" } ], "container-title" : "Global Advanced Research Journal of Medicine and Medical Sciences", "id" : "ITEM-1", "issue" : "7", "issued" : { "date-parts" : [ [ "2013" ] ] }, "page" : "163-176", "title" : "A new method of kala-azar elimination : shifting the reservoir of infection from that village", "type" : "article-journal", "volume" : "2" }, "uris" : [ "http://www.mendeley.com/documents/?uuid=d3586fe8-64f6-4f49-8687-a45a68169025" ] } ], "mendeley" : { "formattedCitation" : "(9)", "plainTextFormattedCitation" : "(9)", "previouslyFormattedCitation" : "(9)" }, "properties" : { "noteIndex" : 0 }, "schema" : "https://github.com/citation-style-language/schema/raw/master/csl-citation.json" }</w:instrText>
      </w:r>
      <w:r w:rsidRPr="007F158D">
        <w:rPr>
          <w:rFonts w:asciiTheme="majorHAnsi" w:hAnsiTheme="majorHAnsi"/>
          <w:color w:val="auto"/>
        </w:rPr>
        <w:fldChar w:fldCharType="separate"/>
      </w:r>
      <w:r w:rsidRPr="00797A32">
        <w:rPr>
          <w:rFonts w:asciiTheme="majorHAnsi" w:hAnsiTheme="majorHAnsi"/>
          <w:b w:val="0"/>
          <w:noProof/>
          <w:color w:val="auto"/>
        </w:rPr>
        <w:t>(9)</w:t>
      </w:r>
      <w:r w:rsidRPr="007F158D">
        <w:rPr>
          <w:rFonts w:asciiTheme="majorHAnsi" w:hAnsiTheme="majorHAnsi"/>
          <w:color w:val="auto"/>
        </w:rPr>
        <w:fldChar w:fldCharType="end"/>
      </w:r>
      <w:r>
        <w:rPr>
          <w:rFonts w:asciiTheme="majorHAnsi" w:hAnsiTheme="majorHAnsi"/>
          <w:color w:val="auto"/>
        </w:rPr>
        <w:t xml:space="preserve"> in 2012 from </w:t>
      </w:r>
      <w:r>
        <w:rPr>
          <w:rFonts w:asciiTheme="majorHAnsi" w:hAnsiTheme="majorHAnsi"/>
          <w:color w:val="auto"/>
        </w:rPr>
        <w:fldChar w:fldCharType="begin" w:fldLock="1"/>
      </w:r>
      <w:r>
        <w:rPr>
          <w:rFonts w:asciiTheme="majorHAnsi" w:hAnsiTheme="majorHAnsi"/>
          <w:color w:val="auto"/>
        </w:rPr>
        <w:instrText>ADDIN CSL_CITATION { "citationItems" : [ { "id" : "ITEM-1", "itemData" : { "author" : [ { "dropping-particle" : "", "family" : "State Surveillance Unit", "given" : "", "non-dropping-particle" : "", "parse-names" : false, "suffix" : "" }, { "dropping-particle" : "", "family" : "State Health Society Bihar", "given" : "", "non-dropping-particle" : "", "parse-names" : false, "suffix" : "" } ], "id" : "ITEM-1", "issued" : { "date-parts" : [ [ "2012" ] ] }, "title" : "Annual Communicable Disease Surveillance Report, 2012 Bihar", "type" : "report" }, "uris" : [ "http://www.mendeley.com/documents/?uuid=851f2ea5-e95a-4cf9-9562-0ef7c4031338" ] } ], "mendeley" : { "formattedCitation" : "(7)", "plainTextFormattedCitation" : "(7)", "previouslyFormattedCitation" : "(7)" }, "properties" : { "noteIndex" : 0 }, "schema" : "https://github.com/citation-style-language/schema/raw/master/csl-citation.json" }</w:instrText>
      </w:r>
      <w:r>
        <w:rPr>
          <w:rFonts w:asciiTheme="majorHAnsi" w:hAnsiTheme="majorHAnsi"/>
          <w:color w:val="auto"/>
        </w:rPr>
        <w:fldChar w:fldCharType="separate"/>
      </w:r>
      <w:r w:rsidRPr="00797A32">
        <w:rPr>
          <w:rFonts w:asciiTheme="majorHAnsi" w:hAnsiTheme="majorHAnsi"/>
          <w:b w:val="0"/>
          <w:noProof/>
          <w:color w:val="auto"/>
        </w:rPr>
        <w:t>(7)</w:t>
      </w:r>
      <w:r>
        <w:rPr>
          <w:rFonts w:asciiTheme="majorHAnsi" w:hAnsiTheme="majorHAnsi"/>
          <w:color w:val="auto"/>
        </w:rPr>
        <w:fldChar w:fldCharType="end"/>
      </w:r>
      <w:r>
        <w:rPr>
          <w:rFonts w:asciiTheme="majorHAnsi" w:hAnsiTheme="majorHAnsi"/>
          <w:color w:val="auto"/>
        </w:rPr>
        <w:t xml:space="preserve"> and in 2013 from </w:t>
      </w:r>
      <w:r>
        <w:rPr>
          <w:rFonts w:asciiTheme="majorHAnsi" w:hAnsiTheme="majorHAnsi"/>
          <w:color w:val="auto"/>
        </w:rPr>
        <w:fldChar w:fldCharType="begin" w:fldLock="1"/>
      </w:r>
      <w:r>
        <w:rPr>
          <w:rFonts w:asciiTheme="majorHAnsi" w:hAnsiTheme="majorHAnsi"/>
          <w:color w:val="auto"/>
        </w:rPr>
        <w:instrText>ADDIN CSL_CITATION { "citationItems" : [ { "id" : "ITEM-1", "itemData" : { "DOI" : "10.1017/CBO9781107415324.004",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"Independent Commission on Development &amp; Health in India", "given" : "", "non-dropping-particle" : "", "parse-names" : false, "suffix" : "" } ], "id" : "ITEM-1", "issued" : { "date-parts" : [ [ "2014" ] ] }, "title" : "Elimination of Kala-Azar", "type" : "article-journal" }, "uris" : [ "http://www.mendeley.com/documents/?uuid=88a96b45-e7d8-46b3-aac0-f133e555df2c" ] } ], "mendeley" : { "formattedCitation" : "(10)", "plainTextFormattedCitation" : "(10)", "previouslyFormattedCitation" : "(10)" }, "properties" : { "noteIndex" : 0 }, "schema" : "https://github.com/citation-style-language/schema/raw/master/csl-citation.json" }</w:instrText>
      </w:r>
      <w:r>
        <w:rPr>
          <w:rFonts w:asciiTheme="majorHAnsi" w:hAnsiTheme="majorHAnsi"/>
          <w:color w:val="auto"/>
        </w:rPr>
        <w:fldChar w:fldCharType="separate"/>
      </w:r>
      <w:r w:rsidRPr="00BB2174">
        <w:rPr>
          <w:rFonts w:asciiTheme="majorHAnsi" w:hAnsiTheme="majorHAnsi"/>
          <w:b w:val="0"/>
          <w:noProof/>
          <w:color w:val="auto"/>
        </w:rPr>
        <w:t>(10)</w:t>
      </w:r>
      <w:r>
        <w:rPr>
          <w:rFonts w:asciiTheme="majorHAnsi" w:hAnsiTheme="majorHAnsi"/>
          <w:color w:val="auto"/>
        </w:rPr>
        <w:fldChar w:fldCharType="end"/>
      </w:r>
      <w:r w:rsidRPr="007F158D">
        <w:rPr>
          <w:rFonts w:asciiTheme="majorHAnsi" w:hAnsiTheme="majorHAnsi"/>
          <w:b w:val="0"/>
          <w:color w:val="auto"/>
        </w:rPr>
        <w:t>.</w:t>
      </w:r>
      <w:r>
        <w:rPr>
          <w:rFonts w:asciiTheme="majorHAnsi" w:hAnsiTheme="majorHAnsi"/>
          <w:b w:val="0"/>
          <w:color w:val="auto"/>
        </w:rPr>
        <w:t xml:space="preserve"> Dots represent the 2012 CARE data (onset of symptoms) which is for most districts lower compared to the data presented here by Thakur </w:t>
      </w:r>
      <w:r w:rsidRPr="007F158D">
        <w:rPr>
          <w:rFonts w:asciiTheme="majorHAnsi" w:hAnsiTheme="majorHAnsi"/>
          <w:b w:val="0"/>
          <w:i/>
          <w:color w:val="auto"/>
        </w:rPr>
        <w:t>et al</w:t>
      </w:r>
      <w:r>
        <w:rPr>
          <w:rFonts w:asciiTheme="majorHAnsi" w:hAnsiTheme="majorHAnsi"/>
          <w:b w:val="0"/>
          <w:color w:val="auto"/>
        </w:rPr>
        <w:t>.</w:t>
      </w:r>
    </w:p>
    <w:p w14:paraId="35A245DF" w14:textId="77777777" w:rsidR="00D87616" w:rsidRPr="007F158D" w:rsidRDefault="00D87616" w:rsidP="00212E4E">
      <w:pPr>
        <w:pStyle w:val="normal0"/>
        <w:rPr>
          <w:rFonts w:asciiTheme="majorHAnsi" w:hAnsiTheme="majorHAnsi"/>
        </w:rPr>
      </w:pPr>
    </w:p>
    <w:p w14:paraId="2936F143" w14:textId="77777777" w:rsidR="00974CA0" w:rsidRPr="007F158D" w:rsidRDefault="00974CA0" w:rsidP="00974CA0">
      <w:pPr>
        <w:pStyle w:val="normal0"/>
        <w:rPr>
          <w:rFonts w:asciiTheme="majorHAnsi" w:eastAsia="Calibri" w:hAnsiTheme="majorHAnsi" w:cs="Calibri"/>
          <w:u w:val="single"/>
        </w:rPr>
      </w:pPr>
      <w:r w:rsidRPr="007F158D">
        <w:rPr>
          <w:rFonts w:asciiTheme="majorHAnsi" w:eastAsia="Calibri" w:hAnsiTheme="majorHAnsi" w:cs="Calibri"/>
          <w:u w:val="single"/>
        </w:rPr>
        <w:t>Data cleaning</w:t>
      </w:r>
    </w:p>
    <w:p w14:paraId="1ABF2105" w14:textId="1CD95014" w:rsidR="007D335B" w:rsidRDefault="00974CA0" w:rsidP="007D335B">
      <w:pPr>
        <w:rPr>
          <w:rFonts w:asciiTheme="majorHAnsi" w:eastAsia="Calibri" w:hAnsiTheme="majorHAnsi" w:cs="Calibri"/>
        </w:rPr>
      </w:pPr>
      <w:r w:rsidRPr="007F158D">
        <w:rPr>
          <w:rFonts w:asciiTheme="majorHAnsi" w:eastAsia="Calibri" w:hAnsiTheme="majorHAnsi" w:cs="Calibri"/>
        </w:rPr>
        <w:t>The data w</w:t>
      </w:r>
      <w:r w:rsidR="00CF29E8" w:rsidRPr="007F158D">
        <w:rPr>
          <w:rFonts w:asciiTheme="majorHAnsi" w:eastAsia="Calibri" w:hAnsiTheme="majorHAnsi" w:cs="Calibri"/>
        </w:rPr>
        <w:t>ere</w:t>
      </w:r>
      <w:r w:rsidRPr="007F158D">
        <w:rPr>
          <w:rFonts w:asciiTheme="majorHAnsi" w:eastAsia="Calibri" w:hAnsiTheme="majorHAnsi" w:cs="Calibri"/>
        </w:rPr>
        <w:t xml:space="preserve"> extensively cleaned to correct inconsistencies in dates reported by patients or their relatives (such as patients reporting being diagnosed before their onset of symptoms). Dates were corrected by crosschecking with all available information on durations of illness</w:t>
      </w:r>
      <w:r w:rsidR="00CF29E8" w:rsidRPr="007F158D">
        <w:rPr>
          <w:rFonts w:asciiTheme="majorHAnsi" w:eastAsia="Calibri" w:hAnsiTheme="majorHAnsi" w:cs="Calibri"/>
        </w:rPr>
        <w:t xml:space="preserve">, </w:t>
      </w:r>
      <w:r w:rsidRPr="007F158D">
        <w:rPr>
          <w:rFonts w:asciiTheme="majorHAnsi" w:eastAsia="Calibri" w:hAnsiTheme="majorHAnsi" w:cs="Calibri"/>
        </w:rPr>
        <w:t xml:space="preserve">dates of diagnosis and treatment for VL, and treatment prior to diagnosis for each case; and dates were only changed when there was sufficient information to be confident of the correct date. The self-reported dates of onset of symptoms and </w:t>
      </w:r>
      <w:r w:rsidR="004E22CD" w:rsidRPr="007F158D">
        <w:rPr>
          <w:rFonts w:asciiTheme="majorHAnsi" w:eastAsia="Calibri" w:hAnsiTheme="majorHAnsi" w:cs="Calibri"/>
        </w:rPr>
        <w:t>times</w:t>
      </w:r>
      <w:r w:rsidR="00022395" w:rsidRPr="007F158D">
        <w:rPr>
          <w:rFonts w:asciiTheme="majorHAnsi" w:eastAsia="Calibri" w:hAnsiTheme="majorHAnsi" w:cs="Calibri"/>
        </w:rPr>
        <w:t xml:space="preserve"> between </w:t>
      </w:r>
      <w:proofErr w:type="gramStart"/>
      <w:r w:rsidRPr="007F158D">
        <w:rPr>
          <w:rFonts w:asciiTheme="majorHAnsi" w:eastAsia="Calibri" w:hAnsiTheme="majorHAnsi" w:cs="Calibri"/>
        </w:rPr>
        <w:t>onset</w:t>
      </w:r>
      <w:proofErr w:type="gramEnd"/>
      <w:r w:rsidRPr="007F158D">
        <w:rPr>
          <w:rFonts w:asciiTheme="majorHAnsi" w:eastAsia="Calibri" w:hAnsiTheme="majorHAnsi" w:cs="Calibri"/>
        </w:rPr>
        <w:t xml:space="preserve"> </w:t>
      </w:r>
      <w:r w:rsidR="00022395" w:rsidRPr="007F158D">
        <w:rPr>
          <w:rFonts w:asciiTheme="majorHAnsi" w:eastAsia="Calibri" w:hAnsiTheme="majorHAnsi" w:cs="Calibri"/>
        </w:rPr>
        <w:t>of</w:t>
      </w:r>
    </w:p>
    <w:p w14:paraId="10442565" w14:textId="316271DE" w:rsidR="007D335B" w:rsidRPr="007F158D" w:rsidRDefault="00022395" w:rsidP="007D335B">
      <w:pPr>
        <w:rPr>
          <w:rFonts w:asciiTheme="majorHAnsi" w:hAnsiTheme="majorHAnsi"/>
          <w:b/>
          <w:sz w:val="18"/>
          <w:szCs w:val="18"/>
        </w:rPr>
      </w:pPr>
      <w:r w:rsidRPr="007F158D">
        <w:rPr>
          <w:rFonts w:asciiTheme="majorHAnsi" w:eastAsia="Calibri" w:hAnsiTheme="majorHAnsi" w:cs="Calibri"/>
        </w:rPr>
        <w:t xml:space="preserve"> </w:t>
      </w:r>
      <w:r w:rsidR="007D335B" w:rsidRPr="00C35AE5">
        <w:rPr>
          <w:rFonts w:asciiTheme="majorHAnsi" w:hAnsiTheme="majorHAnsi"/>
          <w:noProof/>
        </w:rPr>
        <w:drawing>
          <wp:inline distT="0" distB="0" distL="0" distR="0" wp14:anchorId="44789D4B" wp14:editId="5E58DB00">
            <wp:extent cx="4423750" cy="270057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4109" cy="2700792"/>
                    </a:xfrm>
                    <a:prstGeom prst="rect">
                      <a:avLst/>
                    </a:prstGeom>
                    <a:noFill/>
                    <a:ln>
                      <a:noFill/>
                    </a:ln>
                  </pic:spPr>
                </pic:pic>
              </a:graphicData>
            </a:graphic>
          </wp:inline>
        </w:drawing>
      </w:r>
    </w:p>
    <w:p w14:paraId="215B3E7A" w14:textId="77777777" w:rsidR="007D335B" w:rsidRPr="007F158D" w:rsidRDefault="007D335B" w:rsidP="007D335B">
      <w:pPr>
        <w:pStyle w:val="Caption"/>
        <w:rPr>
          <w:rFonts w:asciiTheme="majorHAnsi" w:hAnsiTheme="majorHAnsi"/>
        </w:rPr>
      </w:pPr>
      <w:bookmarkStart w:id="3" w:name="_Ref344536296"/>
      <w:r w:rsidRPr="007F158D">
        <w:rPr>
          <w:rFonts w:asciiTheme="majorHAnsi" w:hAnsiTheme="majorHAnsi"/>
          <w:color w:val="auto"/>
        </w:rPr>
        <w:t xml:space="preserve">Figure </w:t>
      </w:r>
      <w:r>
        <w:rPr>
          <w:rFonts w:asciiTheme="majorHAnsi" w:hAnsiTheme="majorHAnsi"/>
          <w:color w:val="auto"/>
        </w:rPr>
        <w:t>S</w:t>
      </w:r>
      <w:r w:rsidRPr="007F158D">
        <w:rPr>
          <w:rFonts w:asciiTheme="majorHAnsi" w:hAnsiTheme="majorHAnsi"/>
          <w:color w:val="auto"/>
        </w:rPr>
        <w:fldChar w:fldCharType="begin"/>
      </w:r>
      <w:r w:rsidRPr="007F158D">
        <w:rPr>
          <w:rFonts w:asciiTheme="majorHAnsi" w:hAnsiTheme="majorHAnsi"/>
          <w:color w:val="auto"/>
        </w:rPr>
        <w:instrText xml:space="preserve"> SEQ Figure \* ARABIC </w:instrText>
      </w:r>
      <w:r w:rsidRPr="007F158D">
        <w:rPr>
          <w:rFonts w:asciiTheme="majorHAnsi" w:hAnsiTheme="majorHAnsi"/>
          <w:color w:val="auto"/>
        </w:rPr>
        <w:fldChar w:fldCharType="separate"/>
      </w:r>
      <w:r>
        <w:rPr>
          <w:rFonts w:asciiTheme="majorHAnsi" w:hAnsiTheme="majorHAnsi"/>
          <w:noProof/>
          <w:color w:val="auto"/>
        </w:rPr>
        <w:t>3</w:t>
      </w:r>
      <w:r w:rsidRPr="007F158D">
        <w:rPr>
          <w:rFonts w:asciiTheme="majorHAnsi" w:hAnsiTheme="majorHAnsi"/>
          <w:color w:val="auto"/>
        </w:rPr>
        <w:fldChar w:fldCharType="end"/>
      </w:r>
      <w:bookmarkEnd w:id="3"/>
      <w:r w:rsidRPr="007F158D">
        <w:rPr>
          <w:rFonts w:asciiTheme="majorHAnsi" w:hAnsiTheme="majorHAnsi"/>
          <w:color w:val="auto"/>
        </w:rPr>
        <w:t>.</w:t>
      </w:r>
      <w:r w:rsidRPr="007F158D">
        <w:rPr>
          <w:rFonts w:asciiTheme="majorHAnsi" w:hAnsiTheme="majorHAnsi"/>
          <w:b w:val="0"/>
          <w:color w:val="auto"/>
        </w:rPr>
        <w:t xml:space="preserve"> </w:t>
      </w:r>
      <w:r w:rsidRPr="007F158D">
        <w:rPr>
          <w:rFonts w:asciiTheme="majorHAnsi" w:hAnsiTheme="majorHAnsi"/>
          <w:color w:val="auto"/>
        </w:rPr>
        <w:t xml:space="preserve">Monthly numbers of cases in CARE study districts from 2009-2013 from Annual Communicable Disease Surveillance Report, 2012, Bihar </w:t>
      </w:r>
      <w:r w:rsidRPr="007F158D">
        <w:rPr>
          <w:rFonts w:asciiTheme="majorHAnsi" w:hAnsiTheme="majorHAnsi"/>
          <w:color w:val="auto"/>
        </w:rPr>
        <w:fldChar w:fldCharType="begin" w:fldLock="1"/>
      </w:r>
      <w:r>
        <w:rPr>
          <w:rFonts w:asciiTheme="majorHAnsi" w:hAnsiTheme="majorHAnsi"/>
          <w:color w:val="auto"/>
        </w:rPr>
        <w:instrText>ADDIN CSL_CITATION { "citationItems" : [ { "id" : "ITEM-1", "itemData" : { "author" : [ { "dropping-particle" : "", "family" : "State Surveillance Unit", "given" : "", "non-dropping-particle" : "", "parse-names" : false, "suffix" : "" }, { "dropping-particle" : "", "family" : "State Health Society Bihar", "given" : "", "non-dropping-particle" : "", "parse-names" : false, "suffix" : "" } ], "id" : "ITEM-1", "issued" : { "date-parts" : [ [ "2012" ] ] }, "title" : "Annual Communicable Disease Surveillance Report, 2012 Bihar", "type" : "report" }, "uris" : [ "http://www.mendeley.com/documents/?uuid=851f2ea5-e95a-4cf9-9562-0ef7c4031338" ] } ], "mendeley" : { "formattedCitation" : "(7)", "plainTextFormattedCitation" : "(7)", "previouslyFormattedCitation" : "(7)" }, "properties" : { "noteIndex" : 0 }, "schema" : "https://github.com/citation-style-language/schema/raw/master/csl-citation.json" }</w:instrText>
      </w:r>
      <w:r w:rsidRPr="007F158D">
        <w:rPr>
          <w:rFonts w:asciiTheme="majorHAnsi" w:hAnsiTheme="majorHAnsi"/>
          <w:color w:val="auto"/>
        </w:rPr>
        <w:fldChar w:fldCharType="separate"/>
      </w:r>
      <w:r w:rsidRPr="00797A32">
        <w:rPr>
          <w:rFonts w:asciiTheme="majorHAnsi" w:hAnsiTheme="majorHAnsi"/>
          <w:b w:val="0"/>
          <w:noProof/>
          <w:color w:val="auto"/>
        </w:rPr>
        <w:t>(7)</w:t>
      </w:r>
      <w:r w:rsidRPr="007F158D">
        <w:rPr>
          <w:rFonts w:asciiTheme="majorHAnsi" w:hAnsiTheme="majorHAnsi"/>
          <w:color w:val="auto"/>
        </w:rPr>
        <w:fldChar w:fldCharType="end"/>
      </w:r>
    </w:p>
    <w:p w14:paraId="3BD24D83" w14:textId="57E1CE5B" w:rsidR="00974CA0" w:rsidRPr="007F158D" w:rsidRDefault="00022395" w:rsidP="00974CA0">
      <w:pPr>
        <w:pStyle w:val="normal0"/>
        <w:rPr>
          <w:rFonts w:asciiTheme="majorHAnsi" w:hAnsiTheme="majorHAnsi"/>
        </w:rPr>
      </w:pPr>
      <w:proofErr w:type="gramStart"/>
      <w:r w:rsidRPr="007F158D">
        <w:rPr>
          <w:rFonts w:asciiTheme="majorHAnsi" w:eastAsia="Calibri" w:hAnsiTheme="majorHAnsi" w:cs="Calibri"/>
        </w:rPr>
        <w:t>symptoms</w:t>
      </w:r>
      <w:proofErr w:type="gramEnd"/>
      <w:r w:rsidRPr="007F158D">
        <w:rPr>
          <w:rFonts w:asciiTheme="majorHAnsi" w:eastAsia="Calibri" w:hAnsiTheme="majorHAnsi" w:cs="Calibri"/>
        </w:rPr>
        <w:t xml:space="preserve"> and start of</w:t>
      </w:r>
      <w:r w:rsidR="00974CA0" w:rsidRPr="007F158D">
        <w:rPr>
          <w:rFonts w:asciiTheme="majorHAnsi" w:eastAsia="Calibri" w:hAnsiTheme="majorHAnsi" w:cs="Calibri"/>
        </w:rPr>
        <w:t xml:space="preserve"> treatment were used to fit the models. The monthly number of onsets per district was used as the incidence of ‘symptomatic untreated’ individuals in </w:t>
      </w:r>
      <w:r w:rsidR="004E22CD" w:rsidRPr="007F158D">
        <w:rPr>
          <w:rFonts w:asciiTheme="majorHAnsi" w:eastAsia="Calibri" w:hAnsiTheme="majorHAnsi" w:cs="Calibri"/>
        </w:rPr>
        <w:t xml:space="preserve">all </w:t>
      </w:r>
      <w:r w:rsidR="00974CA0" w:rsidRPr="007F158D">
        <w:rPr>
          <w:rFonts w:asciiTheme="majorHAnsi" w:eastAsia="Calibri" w:hAnsiTheme="majorHAnsi" w:cs="Calibri"/>
        </w:rPr>
        <w:t xml:space="preserve">models. Although the diagnosis dates are in theory more reliable (as more than half were taken from medical records), they include delays from onset to diagnosis, which differ between individuals and between districts. Hence the onset dates more accurately reflect, and enable fairer comparison of, seasonality in incidence across districts. </w:t>
      </w:r>
      <w:r w:rsidR="000E19E6">
        <w:rPr>
          <w:rFonts w:asciiTheme="majorHAnsi" w:eastAsia="Calibri" w:hAnsiTheme="majorHAnsi" w:cs="Calibri"/>
        </w:rPr>
        <w:t>Nevertheless</w:t>
      </w:r>
      <w:r w:rsidR="00974CA0" w:rsidRPr="007F158D">
        <w:rPr>
          <w:rFonts w:asciiTheme="majorHAnsi" w:eastAsia="Calibri" w:hAnsiTheme="majorHAnsi" w:cs="Calibri"/>
        </w:rPr>
        <w:t>, the diagnosis dates were used to correct inconsistencies in the onset dates.</w:t>
      </w:r>
    </w:p>
    <w:p w14:paraId="0DF480F2" w14:textId="77777777" w:rsidR="00974CA0" w:rsidRPr="007F158D" w:rsidRDefault="00974CA0" w:rsidP="00212E4E">
      <w:pPr>
        <w:pStyle w:val="normal0"/>
        <w:rPr>
          <w:rFonts w:asciiTheme="majorHAnsi" w:hAnsiTheme="majorHAnsi"/>
        </w:rPr>
      </w:pPr>
    </w:p>
    <w:p w14:paraId="38BA40FC" w14:textId="4DDDEA82" w:rsidR="00974CA0" w:rsidRPr="007F158D" w:rsidRDefault="00974CA0" w:rsidP="00974CA0">
      <w:pPr>
        <w:pStyle w:val="normal0"/>
        <w:rPr>
          <w:rFonts w:asciiTheme="majorHAnsi" w:eastAsia="Calibri" w:hAnsiTheme="majorHAnsi" w:cs="Calibri"/>
          <w:u w:val="single"/>
        </w:rPr>
      </w:pPr>
      <w:r w:rsidRPr="007F158D">
        <w:rPr>
          <w:rFonts w:asciiTheme="majorHAnsi" w:eastAsia="Calibri" w:hAnsiTheme="majorHAnsi" w:cs="Calibri"/>
        </w:rPr>
        <w:t xml:space="preserve">There were 43 individuals in the data without an onset day or month, 42 of </w:t>
      </w:r>
      <w:proofErr w:type="gramStart"/>
      <w:r w:rsidRPr="007F158D">
        <w:rPr>
          <w:rFonts w:asciiTheme="majorHAnsi" w:eastAsia="Calibri" w:hAnsiTheme="majorHAnsi" w:cs="Calibri"/>
        </w:rPr>
        <w:t>whom</w:t>
      </w:r>
      <w:proofErr w:type="gramEnd"/>
      <w:r w:rsidRPr="007F158D">
        <w:rPr>
          <w:rFonts w:asciiTheme="majorHAnsi" w:eastAsia="Calibri" w:hAnsiTheme="majorHAnsi" w:cs="Calibri"/>
        </w:rPr>
        <w:t xml:space="preserve"> had a diagnosis date. The onset dates of the 42 individuals were estimated by subtracting the mean onset-to-diagnosis time for their district (for their year of diagnosis) from their diagnosis dates. </w:t>
      </w:r>
      <w:r w:rsidR="009109F3" w:rsidRPr="007F158D">
        <w:rPr>
          <w:rFonts w:asciiTheme="majorHAnsi" w:eastAsia="Calibri" w:hAnsiTheme="majorHAnsi" w:cs="Calibri"/>
        </w:rPr>
        <w:t>Thirty-seven of the estimated onset dates fell between 1</w:t>
      </w:r>
      <w:r w:rsidR="009109F3" w:rsidRPr="007F158D">
        <w:rPr>
          <w:rFonts w:asciiTheme="majorHAnsi" w:eastAsia="Calibri" w:hAnsiTheme="majorHAnsi" w:cs="Calibri"/>
          <w:vertAlign w:val="superscript"/>
        </w:rPr>
        <w:t>st</w:t>
      </w:r>
      <w:r w:rsidR="009109F3" w:rsidRPr="007F158D">
        <w:rPr>
          <w:rFonts w:asciiTheme="majorHAnsi" w:eastAsia="Calibri" w:hAnsiTheme="majorHAnsi" w:cs="Calibri"/>
        </w:rPr>
        <w:t xml:space="preserve"> January 2012 and 30</w:t>
      </w:r>
      <w:r w:rsidR="009109F3" w:rsidRPr="007F158D">
        <w:rPr>
          <w:rFonts w:asciiTheme="majorHAnsi" w:eastAsia="Calibri" w:hAnsiTheme="majorHAnsi" w:cs="Calibri"/>
          <w:vertAlign w:val="superscript"/>
        </w:rPr>
        <w:t>th</w:t>
      </w:r>
      <w:r w:rsidR="009109F3" w:rsidRPr="007F158D">
        <w:rPr>
          <w:rFonts w:asciiTheme="majorHAnsi" w:eastAsia="Calibri" w:hAnsiTheme="majorHAnsi" w:cs="Calibri"/>
        </w:rPr>
        <w:t xml:space="preserve"> June 2013, and hence were included in the monthly numbers of onsets for each district</w:t>
      </w:r>
      <w:r w:rsidR="004E22CD" w:rsidRPr="007F158D">
        <w:rPr>
          <w:rFonts w:asciiTheme="majorHAnsi" w:eastAsia="Calibri" w:hAnsiTheme="majorHAnsi" w:cs="Calibri"/>
        </w:rPr>
        <w:t xml:space="preserve"> (and in the figures in Table </w:t>
      </w:r>
      <w:r w:rsidR="00EA19EA">
        <w:rPr>
          <w:rFonts w:asciiTheme="majorHAnsi" w:eastAsia="Calibri" w:hAnsiTheme="majorHAnsi" w:cs="Calibri"/>
        </w:rPr>
        <w:t>S</w:t>
      </w:r>
      <w:r w:rsidR="004E22CD" w:rsidRPr="007F158D">
        <w:rPr>
          <w:rFonts w:asciiTheme="majorHAnsi" w:eastAsia="Calibri" w:hAnsiTheme="majorHAnsi" w:cs="Calibri"/>
        </w:rPr>
        <w:t>1)</w:t>
      </w:r>
      <w:r w:rsidR="009109F3" w:rsidRPr="007F158D">
        <w:rPr>
          <w:rFonts w:asciiTheme="majorHAnsi" w:eastAsia="Calibri" w:hAnsiTheme="majorHAnsi" w:cs="Calibri"/>
        </w:rPr>
        <w:t>.</w:t>
      </w:r>
    </w:p>
    <w:p w14:paraId="5C5BC39C" w14:textId="77777777" w:rsidR="00974CA0" w:rsidRPr="007F158D" w:rsidRDefault="00974CA0" w:rsidP="00212E4E">
      <w:pPr>
        <w:pStyle w:val="normal0"/>
        <w:rPr>
          <w:rFonts w:asciiTheme="majorHAnsi" w:hAnsiTheme="majorHAnsi"/>
        </w:rPr>
      </w:pPr>
    </w:p>
    <w:p w14:paraId="476C1D20" w14:textId="77777777" w:rsidR="00212E4E" w:rsidRPr="007F158D" w:rsidRDefault="00212E4E" w:rsidP="00212E4E">
      <w:pPr>
        <w:pStyle w:val="normal0"/>
        <w:rPr>
          <w:rFonts w:asciiTheme="majorHAnsi" w:eastAsia="Calibri" w:hAnsiTheme="majorHAnsi" w:cs="Calibri"/>
          <w:u w:val="single"/>
        </w:rPr>
      </w:pPr>
      <w:r w:rsidRPr="007F158D">
        <w:rPr>
          <w:rFonts w:asciiTheme="majorHAnsi" w:eastAsia="Calibri" w:hAnsiTheme="majorHAnsi" w:cs="Calibri"/>
          <w:u w:val="single"/>
        </w:rPr>
        <w:t>Onset-to-treatment time</w:t>
      </w:r>
    </w:p>
    <w:p w14:paraId="19A62C38" w14:textId="557A581D" w:rsidR="00212E4E" w:rsidRPr="007F158D" w:rsidRDefault="004E22CD" w:rsidP="00212E4E">
      <w:pPr>
        <w:pStyle w:val="normal0"/>
        <w:rPr>
          <w:rFonts w:asciiTheme="majorHAnsi" w:eastAsia="Calibri" w:hAnsiTheme="majorHAnsi" w:cs="Calibri"/>
        </w:rPr>
      </w:pPr>
      <w:r w:rsidRPr="007F158D">
        <w:rPr>
          <w:rFonts w:asciiTheme="majorHAnsi" w:eastAsia="Calibri" w:hAnsiTheme="majorHAnsi" w:cs="Calibri"/>
        </w:rPr>
        <w:t>Times</w:t>
      </w:r>
      <w:r w:rsidR="00E83EA4" w:rsidRPr="007F158D">
        <w:rPr>
          <w:rFonts w:asciiTheme="majorHAnsi" w:eastAsia="Calibri" w:hAnsiTheme="majorHAnsi" w:cs="Calibri"/>
        </w:rPr>
        <w:t xml:space="preserve"> between </w:t>
      </w:r>
      <w:r w:rsidR="00212E4E" w:rsidRPr="007F158D">
        <w:rPr>
          <w:rFonts w:asciiTheme="majorHAnsi" w:eastAsia="Calibri" w:hAnsiTheme="majorHAnsi" w:cs="Calibri"/>
        </w:rPr>
        <w:t xml:space="preserve">onset of symptoms </w:t>
      </w:r>
      <w:r w:rsidR="00E83EA4" w:rsidRPr="007F158D">
        <w:rPr>
          <w:rFonts w:asciiTheme="majorHAnsi" w:eastAsia="Calibri" w:hAnsiTheme="majorHAnsi" w:cs="Calibri"/>
        </w:rPr>
        <w:t xml:space="preserve">and </w:t>
      </w:r>
      <w:r w:rsidR="00D3759A" w:rsidRPr="007F158D">
        <w:rPr>
          <w:rFonts w:asciiTheme="majorHAnsi" w:eastAsia="Calibri" w:hAnsiTheme="majorHAnsi" w:cs="Calibri"/>
        </w:rPr>
        <w:t>start of</w:t>
      </w:r>
      <w:r w:rsidR="00212E4E" w:rsidRPr="007F158D">
        <w:rPr>
          <w:rFonts w:asciiTheme="majorHAnsi" w:eastAsia="Calibri" w:hAnsiTheme="majorHAnsi" w:cs="Calibri"/>
        </w:rPr>
        <w:t xml:space="preserve"> treatment varied significantly between districts with means ranging from 21.6 days in </w:t>
      </w:r>
      <w:proofErr w:type="spellStart"/>
      <w:r w:rsidR="00212E4E" w:rsidRPr="007F158D">
        <w:rPr>
          <w:rFonts w:asciiTheme="majorHAnsi" w:eastAsia="Calibri" w:hAnsiTheme="majorHAnsi" w:cs="Calibri"/>
        </w:rPr>
        <w:t>Begusarai</w:t>
      </w:r>
      <w:proofErr w:type="spellEnd"/>
      <w:r w:rsidR="00212E4E" w:rsidRPr="007F158D">
        <w:rPr>
          <w:rFonts w:asciiTheme="majorHAnsi" w:eastAsia="Calibri" w:hAnsiTheme="majorHAnsi" w:cs="Calibri"/>
        </w:rPr>
        <w:t xml:space="preserve"> to 64.6 days in W</w:t>
      </w:r>
      <w:r w:rsidR="002E43DE" w:rsidRPr="007F158D">
        <w:rPr>
          <w:rFonts w:asciiTheme="majorHAnsi" w:eastAsia="Calibri" w:hAnsiTheme="majorHAnsi" w:cs="Calibri"/>
        </w:rPr>
        <w:t>est</w:t>
      </w:r>
      <w:r w:rsidR="00212E4E" w:rsidRPr="007F158D">
        <w:rPr>
          <w:rFonts w:asciiTheme="majorHAnsi" w:eastAsia="Calibri" w:hAnsiTheme="majorHAnsi" w:cs="Calibri"/>
        </w:rPr>
        <w:t xml:space="preserve"> </w:t>
      </w:r>
      <w:proofErr w:type="spellStart"/>
      <w:r w:rsidR="00212E4E" w:rsidRPr="007F158D">
        <w:rPr>
          <w:rFonts w:asciiTheme="majorHAnsi" w:eastAsia="Calibri" w:hAnsiTheme="majorHAnsi" w:cs="Calibri"/>
        </w:rPr>
        <w:t>Champaran</w:t>
      </w:r>
      <w:proofErr w:type="spellEnd"/>
      <w:r w:rsidR="00212E4E" w:rsidRPr="007F158D">
        <w:rPr>
          <w:rFonts w:asciiTheme="majorHAnsi" w:eastAsia="Calibri" w:hAnsiTheme="majorHAnsi" w:cs="Calibri"/>
        </w:rPr>
        <w:t xml:space="preserve"> in 2012 (</w:t>
      </w:r>
      <w:r w:rsidR="006948B1" w:rsidRPr="007F158D">
        <w:rPr>
          <w:rFonts w:asciiTheme="majorHAnsi" w:eastAsia="Calibri" w:hAnsiTheme="majorHAnsi" w:cs="Calibri"/>
        </w:rPr>
        <w:fldChar w:fldCharType="begin"/>
      </w:r>
      <w:r w:rsidR="006948B1" w:rsidRPr="007F158D">
        <w:rPr>
          <w:rFonts w:asciiTheme="majorHAnsi" w:eastAsia="Calibri" w:hAnsiTheme="majorHAnsi" w:cs="Calibri"/>
        </w:rPr>
        <w:instrText xml:space="preserve"> REF _Ref336076119 \h </w:instrText>
      </w:r>
      <w:r w:rsidR="006948B1" w:rsidRPr="007F158D">
        <w:rPr>
          <w:rFonts w:asciiTheme="majorHAnsi" w:eastAsia="Calibri" w:hAnsiTheme="majorHAnsi" w:cs="Calibri"/>
        </w:rPr>
      </w:r>
      <w:r w:rsidR="006948B1" w:rsidRPr="007F158D">
        <w:rPr>
          <w:rFonts w:asciiTheme="majorHAnsi" w:eastAsia="Calibri" w:hAnsiTheme="majorHAnsi" w:cs="Calibri"/>
        </w:rPr>
        <w:fldChar w:fldCharType="separate"/>
      </w:r>
      <w:r w:rsidR="006948B1" w:rsidRPr="007F158D">
        <w:rPr>
          <w:rFonts w:asciiTheme="majorHAnsi" w:hAnsiTheme="majorHAnsi"/>
          <w:color w:val="000000" w:themeColor="text1"/>
        </w:rPr>
        <w:t xml:space="preserve">Table </w:t>
      </w:r>
      <w:r w:rsidR="00EA19EA">
        <w:rPr>
          <w:rFonts w:asciiTheme="majorHAnsi" w:hAnsiTheme="majorHAnsi"/>
          <w:color w:val="000000" w:themeColor="text1"/>
        </w:rPr>
        <w:t>S</w:t>
      </w:r>
      <w:r w:rsidR="006948B1" w:rsidRPr="007F158D">
        <w:rPr>
          <w:rFonts w:asciiTheme="majorHAnsi" w:hAnsiTheme="majorHAnsi"/>
          <w:noProof/>
          <w:color w:val="000000" w:themeColor="text1"/>
        </w:rPr>
        <w:t>1</w:t>
      </w:r>
      <w:r w:rsidR="006948B1" w:rsidRPr="007F158D">
        <w:rPr>
          <w:rFonts w:asciiTheme="majorHAnsi" w:eastAsia="Calibri" w:hAnsiTheme="majorHAnsi" w:cs="Calibri"/>
        </w:rPr>
        <w:fldChar w:fldCharType="end"/>
      </w:r>
      <w:r w:rsidR="00212E4E" w:rsidRPr="007F158D">
        <w:rPr>
          <w:rFonts w:asciiTheme="majorHAnsi" w:eastAsia="Calibri" w:hAnsiTheme="majorHAnsi" w:cs="Calibri"/>
        </w:rPr>
        <w:t>). The mean onset-to-treatment times decreased from 2012 to the first half of 2013 by 2</w:t>
      </w:r>
      <w:r w:rsidR="006948B1" w:rsidRPr="007F158D">
        <w:rPr>
          <w:rFonts w:asciiTheme="majorHAnsi" w:eastAsia="Calibri" w:hAnsiTheme="majorHAnsi" w:cs="Calibri"/>
        </w:rPr>
        <w:t xml:space="preserve"> to </w:t>
      </w:r>
      <w:r w:rsidR="00212E4E" w:rsidRPr="007F158D">
        <w:rPr>
          <w:rFonts w:asciiTheme="majorHAnsi" w:eastAsia="Calibri" w:hAnsiTheme="majorHAnsi" w:cs="Calibri"/>
        </w:rPr>
        <w:t xml:space="preserve">9 days for all districts apart from </w:t>
      </w:r>
      <w:proofErr w:type="spellStart"/>
      <w:r w:rsidR="00212E4E" w:rsidRPr="007F158D">
        <w:rPr>
          <w:rFonts w:asciiTheme="majorHAnsi" w:eastAsia="Calibri" w:hAnsiTheme="majorHAnsi" w:cs="Calibri"/>
        </w:rPr>
        <w:t>Saharsa</w:t>
      </w:r>
      <w:proofErr w:type="spellEnd"/>
      <w:r w:rsidR="00212E4E" w:rsidRPr="007F158D">
        <w:rPr>
          <w:rFonts w:asciiTheme="majorHAnsi" w:eastAsia="Calibri" w:hAnsiTheme="majorHAnsi" w:cs="Calibri"/>
        </w:rPr>
        <w:t xml:space="preserve"> and </w:t>
      </w:r>
      <w:proofErr w:type="spellStart"/>
      <w:r w:rsidR="00212E4E" w:rsidRPr="007F158D">
        <w:rPr>
          <w:rFonts w:asciiTheme="majorHAnsi" w:eastAsia="Calibri" w:hAnsiTheme="majorHAnsi" w:cs="Calibri"/>
        </w:rPr>
        <w:t>Begusarai</w:t>
      </w:r>
      <w:proofErr w:type="spellEnd"/>
      <w:r w:rsidR="00212E4E" w:rsidRPr="007F158D">
        <w:rPr>
          <w:rFonts w:asciiTheme="majorHAnsi" w:eastAsia="Calibri" w:hAnsiTheme="majorHAnsi" w:cs="Calibri"/>
        </w:rPr>
        <w:t>, where the mean times both increased slightly. In both the Erasmus</w:t>
      </w:r>
      <w:r w:rsidR="006948B1" w:rsidRPr="007F158D">
        <w:rPr>
          <w:rFonts w:asciiTheme="majorHAnsi" w:eastAsia="Calibri" w:hAnsiTheme="majorHAnsi" w:cs="Calibri"/>
        </w:rPr>
        <w:t xml:space="preserve"> MC</w:t>
      </w:r>
      <w:r w:rsidR="00212E4E" w:rsidRPr="007F158D">
        <w:rPr>
          <w:rFonts w:asciiTheme="majorHAnsi" w:eastAsia="Calibri" w:hAnsiTheme="majorHAnsi" w:cs="Calibri"/>
        </w:rPr>
        <w:t xml:space="preserve"> and Warwick models, this is accounted for by a step change in the mean duration of symptoms at the start of 2013.</w:t>
      </w:r>
    </w:p>
    <w:p w14:paraId="3B257A97" w14:textId="77777777" w:rsidR="009109F3" w:rsidRPr="007F158D" w:rsidRDefault="009109F3" w:rsidP="00212E4E">
      <w:pPr>
        <w:pStyle w:val="normal0"/>
        <w:rPr>
          <w:rFonts w:asciiTheme="majorHAnsi" w:eastAsia="Calibri" w:hAnsiTheme="majorHAnsi" w:cs="Calibri"/>
          <w:u w:val="single"/>
        </w:rPr>
      </w:pPr>
    </w:p>
    <w:p w14:paraId="27DCB5D8" w14:textId="77777777" w:rsidR="009109F3" w:rsidRPr="007F158D" w:rsidRDefault="009109F3" w:rsidP="00212E4E">
      <w:pPr>
        <w:pStyle w:val="normal0"/>
        <w:rPr>
          <w:rFonts w:asciiTheme="majorHAnsi" w:eastAsia="Calibri" w:hAnsiTheme="majorHAnsi" w:cs="Calibri"/>
          <w:u w:val="single"/>
        </w:rPr>
      </w:pPr>
      <w:r w:rsidRPr="007F158D">
        <w:rPr>
          <w:rFonts w:asciiTheme="majorHAnsi" w:eastAsia="Calibri" w:hAnsiTheme="majorHAnsi" w:cs="Calibri"/>
          <w:u w:val="single"/>
        </w:rPr>
        <w:t>Treatment duration</w:t>
      </w:r>
    </w:p>
    <w:p w14:paraId="5938E1C7" w14:textId="77777777" w:rsidR="009109F3" w:rsidRPr="007F158D" w:rsidRDefault="009109F3" w:rsidP="00212E4E">
      <w:pPr>
        <w:pStyle w:val="normal0"/>
        <w:rPr>
          <w:rFonts w:asciiTheme="majorHAnsi" w:eastAsia="Calibri" w:hAnsiTheme="majorHAnsi" w:cs="Calibri"/>
        </w:rPr>
      </w:pPr>
      <w:r w:rsidRPr="007F158D">
        <w:rPr>
          <w:rFonts w:asciiTheme="majorHAnsi" w:eastAsia="Calibri" w:hAnsiTheme="majorHAnsi" w:cs="Calibri"/>
        </w:rPr>
        <w:t xml:space="preserve">The </w:t>
      </w:r>
      <w:r w:rsidR="00B77B0D" w:rsidRPr="007F158D">
        <w:rPr>
          <w:rFonts w:asciiTheme="majorHAnsi" w:eastAsia="Calibri" w:hAnsiTheme="majorHAnsi" w:cs="Calibri"/>
        </w:rPr>
        <w:t xml:space="preserve">majority of VL cases were treated with </w:t>
      </w:r>
      <w:proofErr w:type="spellStart"/>
      <w:r w:rsidR="00B77B0D" w:rsidRPr="007F158D">
        <w:rPr>
          <w:rFonts w:asciiTheme="majorHAnsi" w:eastAsia="Calibri" w:hAnsiTheme="majorHAnsi" w:cs="Calibri"/>
        </w:rPr>
        <w:t>Miltefosine</w:t>
      </w:r>
      <w:proofErr w:type="spellEnd"/>
      <w:r w:rsidR="00B77B0D" w:rsidRPr="007F158D">
        <w:rPr>
          <w:rFonts w:asciiTheme="majorHAnsi" w:eastAsia="Calibri" w:hAnsiTheme="majorHAnsi" w:cs="Calibri"/>
        </w:rPr>
        <w:t xml:space="preserve"> and the </w:t>
      </w:r>
      <w:r w:rsidRPr="007F158D">
        <w:rPr>
          <w:rFonts w:asciiTheme="majorHAnsi" w:eastAsia="Calibri" w:hAnsiTheme="majorHAnsi" w:cs="Calibri"/>
        </w:rPr>
        <w:t>reported duration of 1</w:t>
      </w:r>
      <w:r w:rsidRPr="007F158D">
        <w:rPr>
          <w:rFonts w:asciiTheme="majorHAnsi" w:eastAsia="Calibri" w:hAnsiTheme="majorHAnsi" w:cs="Calibri"/>
          <w:vertAlign w:val="superscript"/>
        </w:rPr>
        <w:t>st</w:t>
      </w:r>
      <w:r w:rsidRPr="007F158D">
        <w:rPr>
          <w:rFonts w:asciiTheme="majorHAnsi" w:eastAsia="Calibri" w:hAnsiTheme="majorHAnsi" w:cs="Calibri"/>
        </w:rPr>
        <w:t>- and 2</w:t>
      </w:r>
      <w:r w:rsidRPr="007F158D">
        <w:rPr>
          <w:rFonts w:asciiTheme="majorHAnsi" w:eastAsia="Calibri" w:hAnsiTheme="majorHAnsi" w:cs="Calibri"/>
          <w:vertAlign w:val="superscript"/>
        </w:rPr>
        <w:t>nd</w:t>
      </w:r>
      <w:r w:rsidRPr="007F158D">
        <w:rPr>
          <w:rFonts w:asciiTheme="majorHAnsi" w:eastAsia="Calibri" w:hAnsiTheme="majorHAnsi" w:cs="Calibri"/>
        </w:rPr>
        <w:t>-line treatments was 28</w:t>
      </w:r>
      <w:r w:rsidR="00EC5DCF" w:rsidRPr="007F158D">
        <w:rPr>
          <w:rFonts w:asciiTheme="majorHAnsi" w:eastAsia="Calibri" w:hAnsiTheme="majorHAnsi" w:cs="Calibri"/>
        </w:rPr>
        <w:t>-30</w:t>
      </w:r>
      <w:r w:rsidRPr="007F158D">
        <w:rPr>
          <w:rFonts w:asciiTheme="majorHAnsi" w:eastAsia="Calibri" w:hAnsiTheme="majorHAnsi" w:cs="Calibri"/>
        </w:rPr>
        <w:t xml:space="preserve"> days for </w:t>
      </w:r>
      <w:r w:rsidR="00EC5DCF" w:rsidRPr="007F158D">
        <w:rPr>
          <w:rFonts w:asciiTheme="majorHAnsi" w:eastAsia="Calibri" w:hAnsiTheme="majorHAnsi" w:cs="Calibri"/>
        </w:rPr>
        <w:t>most</w:t>
      </w:r>
      <w:r w:rsidRPr="007F158D">
        <w:rPr>
          <w:rFonts w:asciiTheme="majorHAnsi" w:eastAsia="Calibri" w:hAnsiTheme="majorHAnsi" w:cs="Calibri"/>
        </w:rPr>
        <w:t xml:space="preserve"> individuals</w:t>
      </w:r>
      <w:r w:rsidR="00B77B0D" w:rsidRPr="007F158D">
        <w:rPr>
          <w:rFonts w:asciiTheme="majorHAnsi" w:eastAsia="Calibri" w:hAnsiTheme="majorHAnsi" w:cs="Calibri"/>
        </w:rPr>
        <w:t>, corresponding to taking a capsule daily or receiving daily injections for 4 weeks</w:t>
      </w:r>
      <w:r w:rsidR="00EC5DCF" w:rsidRPr="007F158D">
        <w:rPr>
          <w:rFonts w:asciiTheme="majorHAnsi" w:eastAsia="Calibri" w:hAnsiTheme="majorHAnsi" w:cs="Calibri"/>
        </w:rPr>
        <w:t xml:space="preserve"> to a month</w:t>
      </w:r>
      <w:r w:rsidR="00B77B0D" w:rsidRPr="007F158D">
        <w:rPr>
          <w:rFonts w:asciiTheme="majorHAnsi" w:eastAsia="Calibri" w:hAnsiTheme="majorHAnsi" w:cs="Calibri"/>
        </w:rPr>
        <w:t>.</w:t>
      </w:r>
      <w:r w:rsidR="00EC5DCF" w:rsidRPr="007F158D">
        <w:rPr>
          <w:rFonts w:asciiTheme="majorHAnsi" w:eastAsia="Calibri" w:hAnsiTheme="majorHAnsi" w:cs="Calibri"/>
        </w:rPr>
        <w:t xml:space="preserve"> The average 1</w:t>
      </w:r>
      <w:r w:rsidR="00EC5DCF" w:rsidRPr="007F158D">
        <w:rPr>
          <w:rFonts w:asciiTheme="majorHAnsi" w:eastAsia="Calibri" w:hAnsiTheme="majorHAnsi" w:cs="Calibri"/>
          <w:vertAlign w:val="superscript"/>
        </w:rPr>
        <w:t>st</w:t>
      </w:r>
      <w:r w:rsidR="00EC5DCF" w:rsidRPr="007F158D">
        <w:rPr>
          <w:rFonts w:asciiTheme="majorHAnsi" w:eastAsia="Calibri" w:hAnsiTheme="majorHAnsi" w:cs="Calibri"/>
        </w:rPr>
        <w:t xml:space="preserve"> and 2</w:t>
      </w:r>
      <w:r w:rsidR="00EC5DCF" w:rsidRPr="007F158D">
        <w:rPr>
          <w:rFonts w:asciiTheme="majorHAnsi" w:eastAsia="Calibri" w:hAnsiTheme="majorHAnsi" w:cs="Calibri"/>
          <w:vertAlign w:val="superscript"/>
        </w:rPr>
        <w:t>nd</w:t>
      </w:r>
      <w:r w:rsidR="00EC5DCF" w:rsidRPr="007F158D">
        <w:rPr>
          <w:rFonts w:asciiTheme="majorHAnsi" w:eastAsia="Calibri" w:hAnsiTheme="majorHAnsi" w:cs="Calibri"/>
        </w:rPr>
        <w:t xml:space="preserve"> treatment durations are therefore taken as 28 days in all models. </w:t>
      </w:r>
    </w:p>
    <w:p w14:paraId="763A85FA" w14:textId="77777777" w:rsidR="00212E4E" w:rsidRPr="007F158D" w:rsidRDefault="00212E4E" w:rsidP="00212E4E">
      <w:pPr>
        <w:pStyle w:val="normal0"/>
        <w:rPr>
          <w:rFonts w:asciiTheme="majorHAnsi" w:eastAsia="Calibri" w:hAnsiTheme="majorHAnsi" w:cs="Calibri"/>
          <w:u w:val="single"/>
        </w:rPr>
      </w:pPr>
    </w:p>
    <w:p w14:paraId="3E32BD3C" w14:textId="77777777" w:rsidR="00212E4E" w:rsidRPr="007F158D" w:rsidRDefault="00212E4E" w:rsidP="00212E4E">
      <w:pPr>
        <w:pStyle w:val="normal0"/>
        <w:rPr>
          <w:rFonts w:asciiTheme="majorHAnsi" w:eastAsia="Calibri" w:hAnsiTheme="majorHAnsi" w:cs="Calibri"/>
        </w:rPr>
      </w:pPr>
      <w:r w:rsidRPr="007F158D">
        <w:rPr>
          <w:rFonts w:asciiTheme="majorHAnsi" w:eastAsia="Calibri" w:hAnsiTheme="majorHAnsi" w:cs="Calibri"/>
          <w:u w:val="single"/>
        </w:rPr>
        <w:t>Fraction of VL cases progressing to 2</w:t>
      </w:r>
      <w:r w:rsidRPr="007F158D">
        <w:rPr>
          <w:rFonts w:asciiTheme="majorHAnsi" w:eastAsia="Calibri" w:hAnsiTheme="majorHAnsi" w:cs="Calibri"/>
          <w:u w:val="single"/>
          <w:vertAlign w:val="superscript"/>
        </w:rPr>
        <w:t>nd</w:t>
      </w:r>
      <w:r w:rsidRPr="007F158D">
        <w:rPr>
          <w:rFonts w:asciiTheme="majorHAnsi" w:eastAsia="Calibri" w:hAnsiTheme="majorHAnsi" w:cs="Calibri"/>
          <w:u w:val="single"/>
        </w:rPr>
        <w:t xml:space="preserve"> treatment</w:t>
      </w:r>
      <w:r w:rsidRPr="007F158D">
        <w:rPr>
          <w:rFonts w:asciiTheme="majorHAnsi" w:eastAsia="Calibri" w:hAnsiTheme="majorHAnsi" w:cs="Calibri"/>
        </w:rPr>
        <w:t xml:space="preserve"> </w:t>
      </w:r>
    </w:p>
    <w:p w14:paraId="6A2241E2" w14:textId="2AE44E26" w:rsidR="00E60503" w:rsidRPr="007F158D" w:rsidRDefault="00212E4E" w:rsidP="00212E4E">
      <w:pPr>
        <w:pStyle w:val="normal0"/>
        <w:rPr>
          <w:rFonts w:asciiTheme="majorHAnsi" w:hAnsiTheme="majorHAnsi"/>
        </w:rPr>
      </w:pPr>
      <w:r w:rsidRPr="007F158D">
        <w:rPr>
          <w:rFonts w:asciiTheme="majorHAnsi" w:eastAsia="Calibri" w:hAnsiTheme="majorHAnsi" w:cs="Calibri"/>
        </w:rPr>
        <w:t>Across all 8 districts, the average proportion of VL patients who received a 2</w:t>
      </w:r>
      <w:r w:rsidRPr="007F158D">
        <w:rPr>
          <w:rFonts w:asciiTheme="majorHAnsi" w:eastAsia="Calibri" w:hAnsiTheme="majorHAnsi" w:cs="Calibri"/>
          <w:vertAlign w:val="superscript"/>
        </w:rPr>
        <w:t>nd</w:t>
      </w:r>
      <w:r w:rsidRPr="007F158D">
        <w:rPr>
          <w:rFonts w:asciiTheme="majorHAnsi" w:eastAsia="Calibri" w:hAnsiTheme="majorHAnsi" w:cs="Calibri"/>
        </w:rPr>
        <w:t xml:space="preserve"> treatment was 11.3%. However, at district level the proportion ranged from 6.4% for </w:t>
      </w:r>
      <w:proofErr w:type="spellStart"/>
      <w:r w:rsidRPr="007F158D">
        <w:rPr>
          <w:rFonts w:asciiTheme="majorHAnsi" w:eastAsia="Calibri" w:hAnsiTheme="majorHAnsi" w:cs="Calibri"/>
        </w:rPr>
        <w:t>Saharsa</w:t>
      </w:r>
      <w:proofErr w:type="spellEnd"/>
      <w:r w:rsidRPr="007F158D">
        <w:rPr>
          <w:rFonts w:asciiTheme="majorHAnsi" w:eastAsia="Calibri" w:hAnsiTheme="majorHAnsi" w:cs="Calibri"/>
        </w:rPr>
        <w:t xml:space="preserve"> and W</w:t>
      </w:r>
      <w:r w:rsidR="002E43DE" w:rsidRPr="007F158D">
        <w:rPr>
          <w:rFonts w:asciiTheme="majorHAnsi" w:eastAsia="Calibri" w:hAnsiTheme="majorHAnsi" w:cs="Calibri"/>
        </w:rPr>
        <w:t>est</w:t>
      </w:r>
      <w:r w:rsidRPr="007F158D">
        <w:rPr>
          <w:rFonts w:asciiTheme="majorHAnsi" w:eastAsia="Calibri" w:hAnsiTheme="majorHAnsi" w:cs="Calibri"/>
        </w:rPr>
        <w:t xml:space="preserve"> </w:t>
      </w:r>
      <w:proofErr w:type="spellStart"/>
      <w:r w:rsidRPr="007F158D">
        <w:rPr>
          <w:rFonts w:asciiTheme="majorHAnsi" w:eastAsia="Calibri" w:hAnsiTheme="majorHAnsi" w:cs="Calibri"/>
        </w:rPr>
        <w:t>Champaran</w:t>
      </w:r>
      <w:proofErr w:type="spellEnd"/>
      <w:r w:rsidRPr="007F158D">
        <w:rPr>
          <w:rFonts w:asciiTheme="majorHAnsi" w:eastAsia="Calibri" w:hAnsiTheme="majorHAnsi" w:cs="Calibri"/>
        </w:rPr>
        <w:t xml:space="preserve"> to 21.9% for </w:t>
      </w:r>
      <w:proofErr w:type="spellStart"/>
      <w:r w:rsidRPr="007F158D">
        <w:rPr>
          <w:rFonts w:asciiTheme="majorHAnsi" w:eastAsia="Calibri" w:hAnsiTheme="majorHAnsi" w:cs="Calibri"/>
        </w:rPr>
        <w:t>Gopalganj</w:t>
      </w:r>
      <w:proofErr w:type="spellEnd"/>
      <w:r w:rsidRPr="007F158D">
        <w:rPr>
          <w:rFonts w:asciiTheme="majorHAnsi" w:eastAsia="Calibri" w:hAnsiTheme="majorHAnsi" w:cs="Calibri"/>
        </w:rPr>
        <w:t>. Hence we use the district-specific proportions in fitting the models.</w:t>
      </w:r>
    </w:p>
    <w:p w14:paraId="3F4677C8" w14:textId="77777777" w:rsidR="00E60503" w:rsidRPr="007F158D" w:rsidRDefault="00E60503" w:rsidP="00212E4E">
      <w:pPr>
        <w:pStyle w:val="normal0"/>
        <w:rPr>
          <w:rFonts w:asciiTheme="majorHAnsi" w:hAnsiTheme="majorHAnsi"/>
        </w:rPr>
      </w:pPr>
    </w:p>
    <w:p w14:paraId="32D730BD" w14:textId="3A598276" w:rsidR="00212E4E" w:rsidRPr="007F158D" w:rsidRDefault="00212E4E" w:rsidP="00212E4E">
      <w:pPr>
        <w:pStyle w:val="normal0"/>
        <w:rPr>
          <w:rFonts w:asciiTheme="majorHAnsi" w:hAnsiTheme="majorHAnsi"/>
        </w:rPr>
      </w:pPr>
      <w:r w:rsidRPr="007F158D">
        <w:rPr>
          <w:rFonts w:asciiTheme="majorHAnsi" w:eastAsia="Calibri" w:hAnsiTheme="majorHAnsi" w:cs="Calibri"/>
          <w:u w:val="single"/>
        </w:rPr>
        <w:t>PKDL</w:t>
      </w:r>
      <w:r w:rsidRPr="007F158D">
        <w:rPr>
          <w:rFonts w:asciiTheme="majorHAnsi" w:eastAsia="Calibri" w:hAnsiTheme="majorHAnsi" w:cs="Calibri"/>
        </w:rPr>
        <w:t xml:space="preserve"> </w:t>
      </w:r>
      <w:r w:rsidR="00E60503" w:rsidRPr="007F158D">
        <w:rPr>
          <w:rFonts w:asciiTheme="majorHAnsi" w:eastAsia="Calibri" w:hAnsiTheme="majorHAnsi" w:cs="Calibri"/>
        </w:rPr>
        <w:br/>
      </w:r>
      <w:r w:rsidRPr="007F158D">
        <w:rPr>
          <w:rFonts w:asciiTheme="majorHAnsi" w:eastAsia="Calibri" w:hAnsiTheme="majorHAnsi" w:cs="Calibri"/>
        </w:rPr>
        <w:t xml:space="preserve">The data include some cases of PKDL, but the numbers per district are very low, so have not been used to fit the PKDL incidence in the Erasmus </w:t>
      </w:r>
      <w:r w:rsidR="00777C3D" w:rsidRPr="007F158D">
        <w:rPr>
          <w:rFonts w:asciiTheme="majorHAnsi" w:eastAsia="Calibri" w:hAnsiTheme="majorHAnsi" w:cs="Calibri"/>
        </w:rPr>
        <w:t xml:space="preserve">MC </w:t>
      </w:r>
      <w:r w:rsidRPr="007F158D">
        <w:rPr>
          <w:rFonts w:asciiTheme="majorHAnsi" w:eastAsia="Calibri" w:hAnsiTheme="majorHAnsi" w:cs="Calibri"/>
        </w:rPr>
        <w:t>models</w:t>
      </w:r>
      <w:r w:rsidR="00C47BEA" w:rsidRPr="007F158D">
        <w:rPr>
          <w:rFonts w:asciiTheme="majorHAnsi" w:eastAsia="Calibri" w:hAnsiTheme="majorHAnsi" w:cs="Calibri"/>
        </w:rPr>
        <w:t xml:space="preserve"> (PKDL is not included in the Warwick model)</w:t>
      </w:r>
      <w:r w:rsidRPr="007F158D">
        <w:rPr>
          <w:rFonts w:asciiTheme="majorHAnsi" w:eastAsia="Calibri" w:hAnsiTheme="majorHAnsi" w:cs="Calibri"/>
        </w:rPr>
        <w:t xml:space="preserve">. Approximately 2.5% of all the VL cases in the data developed PKDL, which is comparable to estimates from </w:t>
      </w:r>
      <w:r w:rsidR="00777C3D" w:rsidRPr="007F158D">
        <w:rPr>
          <w:rFonts w:asciiTheme="majorHAnsi" w:eastAsia="Calibri" w:hAnsiTheme="majorHAnsi" w:cs="Calibri"/>
        </w:rPr>
        <w:t xml:space="preserve">other </w:t>
      </w:r>
      <w:r w:rsidRPr="007F158D">
        <w:rPr>
          <w:rFonts w:asciiTheme="majorHAnsi" w:eastAsia="Calibri" w:hAnsiTheme="majorHAnsi" w:cs="Calibri"/>
        </w:rPr>
        <w:t xml:space="preserve">field studies </w:t>
      </w:r>
      <w:r w:rsidRPr="007F158D">
        <w:rPr>
          <w:rFonts w:asciiTheme="majorHAnsi" w:eastAsia="Calibri" w:hAnsiTheme="majorHAnsi" w:cs="Calibri"/>
        </w:rPr>
        <w:fldChar w:fldCharType="begin" w:fldLock="1"/>
      </w:r>
      <w:r w:rsidR="00D87616">
        <w:rPr>
          <w:rFonts w:asciiTheme="majorHAnsi" w:eastAsia="Calibri" w:hAnsiTheme="majorHAnsi" w:cs="Calibri"/>
        </w:rPr>
        <w:instrText>ADDIN CSL_CITATION { "citationItems" : [ { "id" : "ITEM-1", "itemData" : { "DOI" : "10.1371/journal.pntd.0001433", "ISSN" : "19352727", "PMID" : "22206030", "abstract" : "INTRODUCTION: Post-kala-azar dermal leishmaniasis (PKDL) is a cutaneous complication appearing after treatment of visceral leishmaniasis, and PKDL patients are considered infectious to sand flies and may therefore play a role in the transmission of VL. We estimated the risk and risk factors of PKDL in patients with past VL treatment in south-eastern Nepal.\\n\\nMETHODS: Between February and May 2010 we traced all patients who had received VL treatment during 2000-2009 in five high-endemic districts and screened them for PKDL-like skin lesions. Suspected cases were referred to a tertiary care hospital for confirmation by parasitology (slit skin smear (SSS)) and/or histopathology. We calculated the risk of PKDL using Kaplan-Meier survival curves and exact logistic regression for risk factors.\\n\\nRESULTS: Out of 680 past-treated VL patients, 37(5.4%) presented active skin lesions suspect of PKDL during the survey. Thirty-three of them underwent dermatological assessment, and 16 (2.4%) were ascertained as probable (2) or confirmed (14) PKDL. Survival analysis showed a 1.4% risk of PKDL within 2 years of VL treatment. All 16 had been previously treated with sodium stibogluconate (SSG) for their VL. In 5, treatment had not been completed (\u2264 21 injections). Skin lesions developed after a median time interval of 23 months [interquartile range (IQR) 16-40]. We found a higher PKDL rate (29.4%) in those inadequately treated compared to those who received a full SSG course (2.0%). In the logistic regression model, unsupervised treatment [odds ratio (OR) = 8.58, 95% CI 1.21-374.77], and inadequate SSG treatment for VL in the past (OR = 11.68, 95% CI 2.71-45.47) were significantly associated with PKDL.\\n\\nCONCLUSION: The occurrence of PKDL after VL treatment in Nepal is low compared to neighboring countries. Supervised and adequate treatment of VL seems essential to reduce the risk of PKDL development and active surveillance for PKDL is needed.", "author" : [ { "dropping-particle" : "", "family" : "Uranw", "given" : "Surendra", "non-dropping-particle" : "", "parse-names" : false, "suffix" : "" }, { "dropping-particle" : "", "family" : "Ostyn", "given" : "Bart", "non-dropping-particle" : "", "parse-names" : false, "suffix" : "" }, { "dropping-particle" : "", "family" : "Rijal", "given" : "Arpana", "non-dropping-particle" : "", "parse-names" : false, "suffix" : "" }, { "dropping-particle" : "", "family" : "Devkota", "given" : "Saru", "non-dropping-particle" : "", "parse-names" : false, "suffix" : "" }, { "dropping-particle" : "", "family" : "Khanal", "given" : "Basudha", "non-dropping-particle" : "", "parse-names" : false, "suffix" : "" }, { "dropping-particle" : "", "family" : "Menten", "given" : "Joris", "non-dropping-particle" : "", "parse-names" : false, "suffix" : "" }, { "dropping-particle" : "", "family" : "Boelaert", "given" : "Marleen", "non-dropping-particle" : "", "parse-names" : false, "suffix" : "" }, { "dropping-particle" : "", "family" : "Rijal", "given" : "Suman", "non-dropping-particle" : "", "parse-names" : false, "suffix" : "" } ], "container-title" : "PLoS Neglected Tropical Diseases", "id" : "ITEM-1", "issue" : "12", "issued" : { "date-parts" : [ [ "2011" ] ] }, "page" : "1-7", "title" : "Post-kala-azar dermal leishmaniasis in nepal: A retrospective cohort study (2000-2010)", "type" : "article-journal", "volume" : "5" }, "uris" : [ "http://www.mendeley.com/documents/?uuid=e8ce0eef-ffa9-45f0-90f3-0ca293b0e8fd" ] } ], "mendeley" : { "formattedCitation" : "(8)", "plainTextFormattedCitation" : "(8)", "previouslyFormattedCitation" : "(8)" }, "properties" : { "noteIndex" : 0 }, "schema" : "https://github.com/citation-style-language/schema/raw/master/csl-citation.json" }</w:instrText>
      </w:r>
      <w:r w:rsidRPr="007F158D">
        <w:rPr>
          <w:rFonts w:asciiTheme="majorHAnsi" w:eastAsia="Calibri" w:hAnsiTheme="majorHAnsi" w:cs="Calibri"/>
        </w:rPr>
        <w:fldChar w:fldCharType="separate"/>
      </w:r>
      <w:r w:rsidR="00797A32" w:rsidRPr="00797A32">
        <w:rPr>
          <w:rFonts w:asciiTheme="majorHAnsi" w:eastAsia="Calibri" w:hAnsiTheme="majorHAnsi" w:cs="Calibri"/>
          <w:noProof/>
        </w:rPr>
        <w:t>(8)</w:t>
      </w:r>
      <w:r w:rsidRPr="007F158D">
        <w:rPr>
          <w:rFonts w:asciiTheme="majorHAnsi" w:eastAsia="Calibri" w:hAnsiTheme="majorHAnsi" w:cs="Calibri"/>
        </w:rPr>
        <w:fldChar w:fldCharType="end"/>
      </w:r>
      <w:r w:rsidRPr="007F158D">
        <w:rPr>
          <w:rFonts w:asciiTheme="majorHAnsi" w:eastAsia="Calibri" w:hAnsiTheme="majorHAnsi" w:cs="Calibri"/>
        </w:rPr>
        <w:t xml:space="preserve">. This value is therefore used to determine the flow between ‘putatively recovered’ to ‘PKDL’ in the Erasmus </w:t>
      </w:r>
      <w:r w:rsidR="00777C3D" w:rsidRPr="007F158D">
        <w:rPr>
          <w:rFonts w:asciiTheme="majorHAnsi" w:eastAsia="Calibri" w:hAnsiTheme="majorHAnsi" w:cs="Calibri"/>
        </w:rPr>
        <w:t xml:space="preserve">MC </w:t>
      </w:r>
      <w:r w:rsidRPr="007F158D">
        <w:rPr>
          <w:rFonts w:asciiTheme="majorHAnsi" w:eastAsia="Calibri" w:hAnsiTheme="majorHAnsi" w:cs="Calibri"/>
        </w:rPr>
        <w:t xml:space="preserve">models, both </w:t>
      </w:r>
      <w:r w:rsidR="00AB5B1B" w:rsidRPr="007F158D">
        <w:rPr>
          <w:rFonts w:asciiTheme="majorHAnsi" w:eastAsia="Calibri" w:hAnsiTheme="majorHAnsi" w:cs="Calibri"/>
        </w:rPr>
        <w:t>for</w:t>
      </w:r>
      <w:r w:rsidRPr="007F158D">
        <w:rPr>
          <w:rFonts w:asciiTheme="majorHAnsi" w:eastAsia="Calibri" w:hAnsiTheme="majorHAnsi" w:cs="Calibri"/>
        </w:rPr>
        <w:t xml:space="preserve"> the fitting and the predictions.</w:t>
      </w:r>
    </w:p>
    <w:p w14:paraId="04759F5A" w14:textId="77777777" w:rsidR="00212E4E" w:rsidRPr="007F158D" w:rsidRDefault="00212E4E" w:rsidP="00212E4E">
      <w:pPr>
        <w:pStyle w:val="normal0"/>
        <w:rPr>
          <w:rFonts w:asciiTheme="majorHAnsi" w:hAnsiTheme="majorHAnsi"/>
        </w:rPr>
      </w:pPr>
    </w:p>
    <w:p w14:paraId="2F6EE742" w14:textId="77777777" w:rsidR="00212E4E" w:rsidRPr="007F158D" w:rsidRDefault="00212E4E" w:rsidP="00212E4E">
      <w:pPr>
        <w:pStyle w:val="normal0"/>
        <w:widowControl w:val="0"/>
        <w:rPr>
          <w:rFonts w:asciiTheme="majorHAnsi" w:eastAsia="Calibri" w:hAnsiTheme="majorHAnsi" w:cs="Calibri"/>
        </w:rPr>
      </w:pPr>
      <w:r w:rsidRPr="007F158D">
        <w:rPr>
          <w:rFonts w:asciiTheme="majorHAnsi" w:eastAsia="Calibri" w:hAnsiTheme="majorHAnsi" w:cs="Calibri"/>
          <w:u w:val="single"/>
        </w:rPr>
        <w:t>IRS coverage</w:t>
      </w:r>
      <w:r w:rsidRPr="007F158D">
        <w:rPr>
          <w:rFonts w:asciiTheme="majorHAnsi" w:eastAsia="Calibri" w:hAnsiTheme="majorHAnsi" w:cs="Calibri"/>
        </w:rPr>
        <w:t xml:space="preserve"> </w:t>
      </w:r>
    </w:p>
    <w:p w14:paraId="0E6C991E" w14:textId="1336E117" w:rsidR="00012CFB" w:rsidRPr="007F158D" w:rsidRDefault="00212E4E" w:rsidP="00012CFB">
      <w:pPr>
        <w:rPr>
          <w:rFonts w:asciiTheme="majorHAnsi" w:hAnsiTheme="majorHAnsi"/>
          <w:b/>
          <w:color w:val="auto"/>
          <w:sz w:val="18"/>
          <w:szCs w:val="18"/>
        </w:rPr>
      </w:pPr>
      <w:r w:rsidRPr="007F158D">
        <w:rPr>
          <w:rFonts w:asciiTheme="majorHAnsi" w:eastAsia="Calibri" w:hAnsiTheme="majorHAnsi" w:cs="Calibri"/>
        </w:rPr>
        <w:t>IRS coverage was calculated at district level from the CARE VL dataset and is based on the percentage coverage of spraying in 2012 in the house and/or neighborhood of the VL case. (</w:t>
      </w:r>
      <w:r w:rsidR="00AB5B1B" w:rsidRPr="007F158D">
        <w:rPr>
          <w:rFonts w:asciiTheme="majorHAnsi" w:eastAsia="Calibri" w:hAnsiTheme="majorHAnsi" w:cs="Calibri"/>
        </w:rPr>
        <w:fldChar w:fldCharType="begin"/>
      </w:r>
      <w:r w:rsidR="00AB5B1B" w:rsidRPr="007F158D">
        <w:rPr>
          <w:rFonts w:asciiTheme="majorHAnsi" w:eastAsia="Calibri" w:hAnsiTheme="majorHAnsi" w:cs="Calibri"/>
        </w:rPr>
        <w:instrText xml:space="preserve"> REF _Ref336076119 \h </w:instrText>
      </w:r>
      <w:r w:rsidR="00AB5B1B" w:rsidRPr="007F158D">
        <w:rPr>
          <w:rFonts w:asciiTheme="majorHAnsi" w:eastAsia="Calibri" w:hAnsiTheme="majorHAnsi" w:cs="Calibri"/>
        </w:rPr>
      </w:r>
      <w:r w:rsidR="00AB5B1B" w:rsidRPr="007F158D">
        <w:rPr>
          <w:rFonts w:asciiTheme="majorHAnsi" w:eastAsia="Calibri" w:hAnsiTheme="majorHAnsi" w:cs="Calibri"/>
        </w:rPr>
        <w:fldChar w:fldCharType="separate"/>
      </w:r>
      <w:r w:rsidR="00AB5B1B" w:rsidRPr="007F158D">
        <w:rPr>
          <w:rFonts w:asciiTheme="majorHAnsi" w:hAnsiTheme="majorHAnsi"/>
          <w:color w:val="000000" w:themeColor="text1"/>
        </w:rPr>
        <w:t xml:space="preserve">Table </w:t>
      </w:r>
      <w:r w:rsidR="00EA19EA">
        <w:rPr>
          <w:rFonts w:asciiTheme="majorHAnsi" w:hAnsiTheme="majorHAnsi"/>
          <w:color w:val="000000" w:themeColor="text1"/>
        </w:rPr>
        <w:t>S</w:t>
      </w:r>
      <w:r w:rsidR="00AB5B1B" w:rsidRPr="007F158D">
        <w:rPr>
          <w:rFonts w:asciiTheme="majorHAnsi" w:hAnsiTheme="majorHAnsi"/>
          <w:noProof/>
          <w:color w:val="000000" w:themeColor="text1"/>
        </w:rPr>
        <w:t>1</w:t>
      </w:r>
      <w:r w:rsidR="00AB5B1B" w:rsidRPr="007F158D">
        <w:rPr>
          <w:rFonts w:asciiTheme="majorHAnsi" w:eastAsia="Calibri" w:hAnsiTheme="majorHAnsi" w:cs="Calibri"/>
        </w:rPr>
        <w:fldChar w:fldCharType="end"/>
      </w:r>
      <w:r w:rsidRPr="007F158D">
        <w:rPr>
          <w:rFonts w:asciiTheme="majorHAnsi" w:eastAsia="Calibri" w:hAnsiTheme="majorHAnsi" w:cs="Calibri"/>
        </w:rPr>
        <w:t xml:space="preserve">) This approach is likely biased as only a subpopulation </w:t>
      </w:r>
      <w:r w:rsidR="001B4F33" w:rsidRPr="007F158D">
        <w:rPr>
          <w:rFonts w:asciiTheme="majorHAnsi" w:eastAsia="Calibri" w:hAnsiTheme="majorHAnsi" w:cs="Calibri"/>
        </w:rPr>
        <w:t>was</w:t>
      </w:r>
      <w:r w:rsidRPr="007F158D">
        <w:rPr>
          <w:rFonts w:asciiTheme="majorHAnsi" w:eastAsia="Calibri" w:hAnsiTheme="majorHAnsi" w:cs="Calibri"/>
        </w:rPr>
        <w:t xml:space="preserve"> interviewed in th</w:t>
      </w:r>
      <w:r w:rsidR="001B4F33" w:rsidRPr="007F158D">
        <w:rPr>
          <w:rFonts w:asciiTheme="majorHAnsi" w:eastAsia="Calibri" w:hAnsiTheme="majorHAnsi" w:cs="Calibri"/>
        </w:rPr>
        <w:t>e CARE</w:t>
      </w:r>
      <w:r w:rsidRPr="007F158D">
        <w:rPr>
          <w:rFonts w:asciiTheme="majorHAnsi" w:eastAsia="Calibri" w:hAnsiTheme="majorHAnsi" w:cs="Calibri"/>
        </w:rPr>
        <w:t xml:space="preserve"> survey, however it represents the percentage coverage in VL endemic regions, which is what is being modeled in this study. Data on IRS coverage in the general population are </w:t>
      </w:r>
      <w:r w:rsidR="001B4F33" w:rsidRPr="007F158D">
        <w:rPr>
          <w:rFonts w:asciiTheme="majorHAnsi" w:eastAsia="Calibri" w:hAnsiTheme="majorHAnsi" w:cs="Calibri"/>
        </w:rPr>
        <w:t>un</w:t>
      </w:r>
      <w:r w:rsidRPr="007F158D">
        <w:rPr>
          <w:rFonts w:asciiTheme="majorHAnsi" w:eastAsia="Calibri" w:hAnsiTheme="majorHAnsi" w:cs="Calibri"/>
        </w:rPr>
        <w:t xml:space="preserve">available for these years. For fitting the models, IRS at the calculated coverage levels was assumed to have started in 2011. When more detailed data </w:t>
      </w:r>
      <w:r w:rsidR="00E13F56" w:rsidRPr="007F158D">
        <w:rPr>
          <w:rFonts w:asciiTheme="majorHAnsi" w:eastAsia="Calibri" w:hAnsiTheme="majorHAnsi" w:cs="Calibri"/>
        </w:rPr>
        <w:t>be</w:t>
      </w:r>
      <w:r w:rsidRPr="007F158D">
        <w:rPr>
          <w:rFonts w:asciiTheme="majorHAnsi" w:eastAsia="Calibri" w:hAnsiTheme="majorHAnsi" w:cs="Calibri"/>
        </w:rPr>
        <w:t xml:space="preserve">come available in the near future, this can be included. </w:t>
      </w:r>
      <w:r w:rsidR="00AB5B1B" w:rsidRPr="007F158D">
        <w:rPr>
          <w:rFonts w:asciiTheme="majorHAnsi" w:eastAsia="Calibri" w:hAnsiTheme="majorHAnsi" w:cs="Calibri"/>
        </w:rPr>
        <w:t xml:space="preserve">A constant multiplication factor (representing the IRS efficacy), which was fitted, was used to convert the percentage coverage of IRS to the rate of reduction in </w:t>
      </w:r>
      <w:proofErr w:type="spellStart"/>
      <w:r w:rsidR="00AB5B1B" w:rsidRPr="007F158D">
        <w:rPr>
          <w:rFonts w:asciiTheme="majorHAnsi" w:eastAsia="Calibri" w:hAnsiTheme="majorHAnsi" w:cs="Calibri"/>
        </w:rPr>
        <w:t>sandfly</w:t>
      </w:r>
      <w:proofErr w:type="spellEnd"/>
      <w:r w:rsidR="00AB5B1B" w:rsidRPr="007F158D">
        <w:rPr>
          <w:rFonts w:asciiTheme="majorHAnsi" w:eastAsia="Calibri" w:hAnsiTheme="majorHAnsi" w:cs="Calibri"/>
        </w:rPr>
        <w:t xml:space="preserve"> density in the models. </w:t>
      </w:r>
    </w:p>
    <w:p w14:paraId="78BA63B9" w14:textId="2894764B" w:rsidR="0075430B" w:rsidRDefault="00012CFB" w:rsidP="00012CFB">
      <w:pPr>
        <w:rPr>
          <w:rFonts w:asciiTheme="majorHAnsi" w:hAnsiTheme="majorHAnsi"/>
        </w:rPr>
      </w:pPr>
      <w:r w:rsidRPr="007F158D">
        <w:rPr>
          <w:rFonts w:asciiTheme="majorHAnsi" w:hAnsiTheme="majorHAnsi"/>
          <w:noProof/>
        </w:rPr>
        <w:drawing>
          <wp:inline distT="0" distB="0" distL="0" distR="0" wp14:anchorId="628AEA72" wp14:editId="76C25376">
            <wp:extent cx="3959717" cy="3314998"/>
            <wp:effectExtent l="0" t="0" r="3175" b="0"/>
            <wp:docPr id="4" name="Picture 3" descr="BlckEndmctiesHstg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BlckEndmctiesHstgrm.png"/>
                    <pic:cNvPicPr>
                      <a:picLocks noChangeAspect="1"/>
                    </pic:cNvPicPr>
                  </pic:nvPicPr>
                  <pic:blipFill rotWithShape="1">
                    <a:blip r:embed="rId10">
                      <a:extLst>
                        <a:ext uri="{28A0092B-C50C-407E-A947-70E740481C1C}">
                          <a14:useLocalDpi xmlns:a14="http://schemas.microsoft.com/office/drawing/2010/main" val="0"/>
                        </a:ext>
                      </a:extLst>
                    </a:blip>
                    <a:srcRect l="7206" t="5672" r="8288"/>
                    <a:stretch/>
                  </pic:blipFill>
                  <pic:spPr bwMode="auto">
                    <a:xfrm>
                      <a:off x="0" y="0"/>
                      <a:ext cx="3960000" cy="3315235"/>
                    </a:xfrm>
                    <a:prstGeom prst="rect">
                      <a:avLst/>
                    </a:prstGeom>
                    <a:ln>
                      <a:noFill/>
                    </a:ln>
                    <a:extLst>
                      <a:ext uri="{53640926-AAD7-44d8-BBD7-CCE9431645EC}">
                        <a14:shadowObscured xmlns:a14="http://schemas.microsoft.com/office/drawing/2010/main"/>
                      </a:ext>
                    </a:extLst>
                  </pic:spPr>
                </pic:pic>
              </a:graphicData>
            </a:graphic>
          </wp:inline>
        </w:drawing>
      </w:r>
    </w:p>
    <w:p w14:paraId="4AB30637" w14:textId="77777777" w:rsidR="006C1006" w:rsidRPr="007F158D" w:rsidRDefault="006C1006" w:rsidP="006C1006">
      <w:pPr>
        <w:pStyle w:val="Caption"/>
        <w:rPr>
          <w:rFonts w:asciiTheme="majorHAnsi" w:hAnsiTheme="majorHAnsi"/>
          <w:color w:val="auto"/>
        </w:rPr>
      </w:pPr>
      <w:r w:rsidRPr="007F158D">
        <w:rPr>
          <w:rFonts w:asciiTheme="majorHAnsi" w:hAnsiTheme="majorHAnsi"/>
          <w:color w:val="auto"/>
        </w:rPr>
        <w:t xml:space="preserve">Figure </w:t>
      </w:r>
      <w:r>
        <w:rPr>
          <w:rFonts w:asciiTheme="majorHAnsi" w:hAnsiTheme="majorHAnsi"/>
          <w:color w:val="auto"/>
        </w:rPr>
        <w:t>S</w:t>
      </w:r>
      <w:r w:rsidRPr="007F158D">
        <w:rPr>
          <w:rFonts w:asciiTheme="majorHAnsi" w:hAnsiTheme="majorHAnsi"/>
          <w:color w:val="auto"/>
        </w:rPr>
        <w:fldChar w:fldCharType="begin"/>
      </w:r>
      <w:r w:rsidRPr="007F158D">
        <w:rPr>
          <w:rFonts w:asciiTheme="majorHAnsi" w:hAnsiTheme="majorHAnsi"/>
          <w:color w:val="auto"/>
        </w:rPr>
        <w:instrText xml:space="preserve"> SEQ Figure \* ARABIC </w:instrText>
      </w:r>
      <w:r w:rsidRPr="007F158D">
        <w:rPr>
          <w:rFonts w:asciiTheme="majorHAnsi" w:hAnsiTheme="majorHAnsi"/>
          <w:color w:val="auto"/>
        </w:rPr>
        <w:fldChar w:fldCharType="separate"/>
      </w:r>
      <w:r>
        <w:rPr>
          <w:rFonts w:asciiTheme="majorHAnsi" w:hAnsiTheme="majorHAnsi"/>
          <w:noProof/>
          <w:color w:val="auto"/>
        </w:rPr>
        <w:t>4</w:t>
      </w:r>
      <w:r w:rsidRPr="007F158D">
        <w:rPr>
          <w:rFonts w:asciiTheme="majorHAnsi" w:hAnsiTheme="majorHAnsi"/>
          <w:color w:val="auto"/>
        </w:rPr>
        <w:fldChar w:fldCharType="end"/>
      </w:r>
      <w:r w:rsidRPr="007F158D">
        <w:rPr>
          <w:rFonts w:asciiTheme="majorHAnsi" w:hAnsiTheme="majorHAnsi"/>
          <w:color w:val="auto"/>
        </w:rPr>
        <w:t xml:space="preserve">. Distribution of 2012 sub-district </w:t>
      </w:r>
      <w:proofErr w:type="spellStart"/>
      <w:r w:rsidRPr="007F158D">
        <w:rPr>
          <w:rFonts w:asciiTheme="majorHAnsi" w:hAnsiTheme="majorHAnsi"/>
          <w:color w:val="auto"/>
        </w:rPr>
        <w:t>endemicities</w:t>
      </w:r>
      <w:proofErr w:type="spellEnd"/>
      <w:r w:rsidRPr="007F158D">
        <w:rPr>
          <w:rFonts w:asciiTheme="majorHAnsi" w:hAnsiTheme="majorHAnsi"/>
          <w:color w:val="auto"/>
        </w:rPr>
        <w:t xml:space="preserve"> for CARE districts </w:t>
      </w:r>
    </w:p>
    <w:p w14:paraId="2B8C9168" w14:textId="77777777" w:rsidR="006C1006" w:rsidRPr="007F158D" w:rsidRDefault="006C1006" w:rsidP="00012CFB">
      <w:pPr>
        <w:rPr>
          <w:rFonts w:asciiTheme="majorHAnsi" w:hAnsiTheme="majorHAnsi"/>
        </w:rPr>
        <w:sectPr w:rsidR="006C1006" w:rsidRPr="007F158D" w:rsidSect="00B9623E">
          <w:pgSz w:w="11900" w:h="16840"/>
          <w:pgMar w:top="1440" w:right="1800" w:bottom="1440" w:left="1800" w:header="708" w:footer="708" w:gutter="0"/>
          <w:cols w:space="708"/>
          <w:docGrid w:linePitch="360"/>
        </w:sectPr>
      </w:pPr>
    </w:p>
    <w:p w14:paraId="5224E2A4" w14:textId="77777777" w:rsidR="00AB5B1B" w:rsidRPr="00C35AE5" w:rsidRDefault="00AB5B1B" w:rsidP="00C35AE5">
      <w:pPr>
        <w:pStyle w:val="Caption"/>
        <w:spacing w:after="0"/>
        <w:rPr>
          <w:rFonts w:asciiTheme="majorHAnsi" w:hAnsiTheme="majorHAnsi"/>
          <w:color w:val="auto"/>
          <w:sz w:val="24"/>
        </w:rPr>
      </w:pPr>
      <w:r w:rsidRPr="00C35AE5">
        <w:rPr>
          <w:rFonts w:asciiTheme="majorHAnsi" w:hAnsiTheme="majorHAnsi"/>
          <w:color w:val="auto"/>
          <w:sz w:val="24"/>
        </w:rPr>
        <w:t>References</w:t>
      </w:r>
    </w:p>
    <w:p w14:paraId="19F80C3B" w14:textId="77777777" w:rsidR="00AB5B1B" w:rsidRPr="007F158D" w:rsidRDefault="00AB5B1B" w:rsidP="0075430B">
      <w:pPr>
        <w:rPr>
          <w:rFonts w:asciiTheme="majorHAnsi" w:hAnsiTheme="majorHAnsi"/>
          <w:sz w:val="18"/>
          <w:szCs w:val="18"/>
        </w:rPr>
      </w:pPr>
    </w:p>
    <w:p w14:paraId="58600D88" w14:textId="70ADE454" w:rsidR="00D87616" w:rsidRPr="00D87616" w:rsidRDefault="0086786C" w:rsidP="00D87616">
      <w:pPr>
        <w:widowControl w:val="0"/>
        <w:autoSpaceDE w:val="0"/>
        <w:autoSpaceDN w:val="0"/>
        <w:adjustRightInd w:val="0"/>
        <w:spacing w:line="240" w:lineRule="auto"/>
        <w:ind w:left="640" w:hanging="640"/>
        <w:rPr>
          <w:rFonts w:ascii="Calibri" w:hAnsi="Calibri"/>
          <w:noProof/>
          <w:sz w:val="18"/>
          <w:szCs w:val="24"/>
        </w:rPr>
      </w:pPr>
      <w:r w:rsidRPr="007F158D">
        <w:rPr>
          <w:rFonts w:asciiTheme="majorHAnsi" w:hAnsiTheme="majorHAnsi"/>
          <w:sz w:val="18"/>
          <w:szCs w:val="18"/>
        </w:rPr>
        <w:fldChar w:fldCharType="begin" w:fldLock="1"/>
      </w:r>
      <w:r w:rsidRPr="007F158D">
        <w:rPr>
          <w:rFonts w:asciiTheme="majorHAnsi" w:hAnsiTheme="majorHAnsi"/>
          <w:sz w:val="18"/>
          <w:szCs w:val="18"/>
        </w:rPr>
        <w:instrText xml:space="preserve">ADDIN Mendeley Bibliography CSL_BIBLIOGRAPHY </w:instrText>
      </w:r>
      <w:r w:rsidRPr="007F158D">
        <w:rPr>
          <w:rFonts w:asciiTheme="majorHAnsi" w:hAnsiTheme="majorHAnsi"/>
          <w:sz w:val="18"/>
          <w:szCs w:val="18"/>
        </w:rPr>
        <w:fldChar w:fldCharType="separate"/>
      </w:r>
      <w:r w:rsidR="00D87616" w:rsidRPr="00D87616">
        <w:rPr>
          <w:rFonts w:ascii="Calibri" w:hAnsi="Calibri"/>
          <w:noProof/>
          <w:sz w:val="18"/>
          <w:szCs w:val="24"/>
        </w:rPr>
        <w:t xml:space="preserve">1. </w:t>
      </w:r>
      <w:r w:rsidR="00D87616" w:rsidRPr="00D87616">
        <w:rPr>
          <w:rFonts w:ascii="Calibri" w:hAnsi="Calibri"/>
          <w:noProof/>
          <w:sz w:val="18"/>
          <w:szCs w:val="24"/>
        </w:rPr>
        <w:tab/>
        <w:t>Ministry of Health and Family Welfare G of I. Family Welfare Statistics in India. 2011;306. Available from: http://www.2cnpop.net/uploads/1/0/2/1/10215849/mohfw_statistics_2011_revised_31_10_11.pdf</w:t>
      </w:r>
    </w:p>
    <w:p w14:paraId="77F3EEB3" w14:textId="77777777" w:rsidR="00D87616" w:rsidRPr="00D87616" w:rsidRDefault="00D87616" w:rsidP="00D87616">
      <w:pPr>
        <w:widowControl w:val="0"/>
        <w:autoSpaceDE w:val="0"/>
        <w:autoSpaceDN w:val="0"/>
        <w:adjustRightInd w:val="0"/>
        <w:spacing w:line="240" w:lineRule="auto"/>
        <w:ind w:left="640" w:hanging="640"/>
        <w:rPr>
          <w:rFonts w:ascii="Calibri" w:hAnsi="Calibri"/>
          <w:noProof/>
          <w:sz w:val="18"/>
          <w:szCs w:val="24"/>
        </w:rPr>
      </w:pPr>
      <w:r w:rsidRPr="00D87616">
        <w:rPr>
          <w:rFonts w:ascii="Calibri" w:hAnsi="Calibri"/>
          <w:noProof/>
          <w:sz w:val="18"/>
          <w:szCs w:val="24"/>
        </w:rPr>
        <w:t xml:space="preserve">2. </w:t>
      </w:r>
      <w:r w:rsidRPr="00D87616">
        <w:rPr>
          <w:rFonts w:ascii="Calibri" w:hAnsi="Calibri"/>
          <w:noProof/>
          <w:sz w:val="18"/>
          <w:szCs w:val="24"/>
        </w:rPr>
        <w:tab/>
        <w:t>Malaviya P, Picado A, Singh SP, Hasker E, Singh RP, Boelaert M, et al. Visceral Leishmaniasis in Muzaffarpur District, Bihar, India from 1990 to 2008. Diemert DJ, editor. PLoS One [Internet]. 2011 Mar 4;6(3):e14751. Available from: http://dx.plos.org/10.1371/journal.pone.0014751</w:t>
      </w:r>
    </w:p>
    <w:p w14:paraId="64193020" w14:textId="77777777" w:rsidR="00D87616" w:rsidRPr="00D87616" w:rsidRDefault="00D87616" w:rsidP="00D87616">
      <w:pPr>
        <w:widowControl w:val="0"/>
        <w:autoSpaceDE w:val="0"/>
        <w:autoSpaceDN w:val="0"/>
        <w:adjustRightInd w:val="0"/>
        <w:spacing w:line="240" w:lineRule="auto"/>
        <w:ind w:left="640" w:hanging="640"/>
        <w:rPr>
          <w:rFonts w:ascii="Calibri" w:hAnsi="Calibri"/>
          <w:noProof/>
          <w:sz w:val="18"/>
          <w:szCs w:val="24"/>
        </w:rPr>
      </w:pPr>
      <w:r w:rsidRPr="00D87616">
        <w:rPr>
          <w:rFonts w:ascii="Calibri" w:hAnsi="Calibri"/>
          <w:noProof/>
          <w:sz w:val="18"/>
          <w:szCs w:val="24"/>
        </w:rPr>
        <w:t xml:space="preserve">3. </w:t>
      </w:r>
      <w:r w:rsidRPr="00D87616">
        <w:rPr>
          <w:rFonts w:ascii="Calibri" w:hAnsi="Calibri"/>
          <w:noProof/>
          <w:sz w:val="18"/>
          <w:szCs w:val="24"/>
        </w:rPr>
        <w:tab/>
        <w:t xml:space="preserve">Burza S, Sinha PK, Mahajan R, Lima MA, Mitra G, Verma N, et al. Risk Factors for Visceral Leishmaniasis Relapse in Immunocompetent Patients following Treatment with 20 mg/kg Liposomal Amphotericin B (Ambisome) in Bihar, India. PLoS Negl Trop Dis. 2014;8(1):44. </w:t>
      </w:r>
    </w:p>
    <w:p w14:paraId="3558396E" w14:textId="77777777" w:rsidR="00D87616" w:rsidRPr="00D87616" w:rsidRDefault="00D87616" w:rsidP="00D87616">
      <w:pPr>
        <w:widowControl w:val="0"/>
        <w:autoSpaceDE w:val="0"/>
        <w:autoSpaceDN w:val="0"/>
        <w:adjustRightInd w:val="0"/>
        <w:spacing w:line="240" w:lineRule="auto"/>
        <w:ind w:left="640" w:hanging="640"/>
        <w:rPr>
          <w:rFonts w:ascii="Calibri" w:hAnsi="Calibri"/>
          <w:noProof/>
          <w:sz w:val="18"/>
          <w:szCs w:val="24"/>
        </w:rPr>
      </w:pPr>
      <w:r w:rsidRPr="00D87616">
        <w:rPr>
          <w:rFonts w:ascii="Calibri" w:hAnsi="Calibri"/>
          <w:noProof/>
          <w:sz w:val="18"/>
          <w:szCs w:val="24"/>
        </w:rPr>
        <w:t xml:space="preserve">4. </w:t>
      </w:r>
      <w:r w:rsidRPr="00D87616">
        <w:rPr>
          <w:rFonts w:ascii="Calibri" w:hAnsi="Calibri"/>
          <w:noProof/>
          <w:sz w:val="18"/>
          <w:szCs w:val="24"/>
        </w:rPr>
        <w:tab/>
        <w:t xml:space="preserve">Poché D, Garlapati R, Ingenloff K, Remmers J, Poché R. Bionomics of phlebotomine sand flies from three villages in Bihar, India. J Vector Ecol. 2011;36(SUPPL.1):106–17. </w:t>
      </w:r>
    </w:p>
    <w:p w14:paraId="14A009D4" w14:textId="77777777" w:rsidR="00D87616" w:rsidRPr="00D87616" w:rsidRDefault="00D87616" w:rsidP="00D87616">
      <w:pPr>
        <w:widowControl w:val="0"/>
        <w:autoSpaceDE w:val="0"/>
        <w:autoSpaceDN w:val="0"/>
        <w:adjustRightInd w:val="0"/>
        <w:spacing w:line="240" w:lineRule="auto"/>
        <w:ind w:left="640" w:hanging="640"/>
        <w:rPr>
          <w:rFonts w:ascii="Calibri" w:hAnsi="Calibri"/>
          <w:noProof/>
          <w:sz w:val="18"/>
          <w:szCs w:val="24"/>
        </w:rPr>
      </w:pPr>
      <w:r w:rsidRPr="00D87616">
        <w:rPr>
          <w:rFonts w:ascii="Calibri" w:hAnsi="Calibri"/>
          <w:noProof/>
          <w:sz w:val="18"/>
          <w:szCs w:val="24"/>
        </w:rPr>
        <w:t xml:space="preserve">5. </w:t>
      </w:r>
      <w:r w:rsidRPr="00D87616">
        <w:rPr>
          <w:rFonts w:ascii="Calibri" w:hAnsi="Calibri"/>
          <w:noProof/>
          <w:sz w:val="18"/>
          <w:szCs w:val="24"/>
        </w:rPr>
        <w:tab/>
        <w:t xml:space="preserve">Picado A, Dash AP, Bhattacharya S, Boelaert M. Vector control interventions for visceral leishmaniasis elimination initiative in South Asia, 2005-2010. Indian J Med Res. India; 2012 Jul;136(1):22–31. </w:t>
      </w:r>
    </w:p>
    <w:p w14:paraId="5AA5CDD3" w14:textId="77777777" w:rsidR="00D87616" w:rsidRPr="00D87616" w:rsidRDefault="00D87616" w:rsidP="00D87616">
      <w:pPr>
        <w:widowControl w:val="0"/>
        <w:autoSpaceDE w:val="0"/>
        <w:autoSpaceDN w:val="0"/>
        <w:adjustRightInd w:val="0"/>
        <w:spacing w:line="240" w:lineRule="auto"/>
        <w:ind w:left="640" w:hanging="640"/>
        <w:rPr>
          <w:rFonts w:ascii="Calibri" w:hAnsi="Calibri"/>
          <w:noProof/>
          <w:sz w:val="18"/>
          <w:szCs w:val="24"/>
        </w:rPr>
      </w:pPr>
      <w:r w:rsidRPr="00D87616">
        <w:rPr>
          <w:rFonts w:ascii="Calibri" w:hAnsi="Calibri"/>
          <w:noProof/>
          <w:sz w:val="18"/>
          <w:szCs w:val="24"/>
        </w:rPr>
        <w:t xml:space="preserve">6. </w:t>
      </w:r>
      <w:r w:rsidRPr="00D87616">
        <w:rPr>
          <w:rFonts w:ascii="Calibri" w:hAnsi="Calibri"/>
          <w:noProof/>
          <w:sz w:val="18"/>
          <w:szCs w:val="24"/>
        </w:rPr>
        <w:tab/>
        <w:t xml:space="preserve">Malaviya P, Hasker E, Picado A, Mishra M, Van Geertruyden JP, Das ML, et al. Exposure to phlebotomus argentipes (diptera, psychodidae, phlebotominae) sand flies in rural areas of Bihar, India: The role of housing conditions. PLoS One. 2014;9(9):1–7. </w:t>
      </w:r>
    </w:p>
    <w:p w14:paraId="25D60041" w14:textId="77777777" w:rsidR="00D87616" w:rsidRPr="00D87616" w:rsidRDefault="00D87616" w:rsidP="00D87616">
      <w:pPr>
        <w:widowControl w:val="0"/>
        <w:autoSpaceDE w:val="0"/>
        <w:autoSpaceDN w:val="0"/>
        <w:adjustRightInd w:val="0"/>
        <w:spacing w:line="240" w:lineRule="auto"/>
        <w:ind w:left="640" w:hanging="640"/>
        <w:rPr>
          <w:rFonts w:ascii="Calibri" w:hAnsi="Calibri"/>
          <w:noProof/>
          <w:sz w:val="18"/>
          <w:szCs w:val="24"/>
        </w:rPr>
      </w:pPr>
      <w:r w:rsidRPr="00D87616">
        <w:rPr>
          <w:rFonts w:ascii="Calibri" w:hAnsi="Calibri"/>
          <w:noProof/>
          <w:sz w:val="18"/>
          <w:szCs w:val="24"/>
        </w:rPr>
        <w:t xml:space="preserve">7. </w:t>
      </w:r>
      <w:r w:rsidRPr="00D87616">
        <w:rPr>
          <w:rFonts w:ascii="Calibri" w:hAnsi="Calibri"/>
          <w:noProof/>
          <w:sz w:val="18"/>
          <w:szCs w:val="24"/>
        </w:rPr>
        <w:tab/>
        <w:t xml:space="preserve">State Surveillance Unit, State Health Society Bihar. Annual Communicable Disease Surveillance Report, 2012 Bihar. 2012. </w:t>
      </w:r>
    </w:p>
    <w:p w14:paraId="1DD486F8" w14:textId="77777777" w:rsidR="00D87616" w:rsidRPr="00D87616" w:rsidRDefault="00D87616" w:rsidP="00D87616">
      <w:pPr>
        <w:widowControl w:val="0"/>
        <w:autoSpaceDE w:val="0"/>
        <w:autoSpaceDN w:val="0"/>
        <w:adjustRightInd w:val="0"/>
        <w:spacing w:line="240" w:lineRule="auto"/>
        <w:ind w:left="640" w:hanging="640"/>
        <w:rPr>
          <w:rFonts w:ascii="Calibri" w:hAnsi="Calibri"/>
          <w:noProof/>
          <w:sz w:val="18"/>
          <w:szCs w:val="24"/>
        </w:rPr>
      </w:pPr>
      <w:r w:rsidRPr="00D87616">
        <w:rPr>
          <w:rFonts w:ascii="Calibri" w:hAnsi="Calibri"/>
          <w:noProof/>
          <w:sz w:val="18"/>
          <w:szCs w:val="24"/>
        </w:rPr>
        <w:t xml:space="preserve">8. </w:t>
      </w:r>
      <w:r w:rsidRPr="00D87616">
        <w:rPr>
          <w:rFonts w:ascii="Calibri" w:hAnsi="Calibri"/>
          <w:noProof/>
          <w:sz w:val="18"/>
          <w:szCs w:val="24"/>
        </w:rPr>
        <w:tab/>
        <w:t xml:space="preserve">Uranw S, Ostyn B, Rijal A, Devkota S, Khanal B, Menten J, et al. Post-kala-azar dermal leishmaniasis in nepal: A retrospective cohort study (2000-2010). PLoS Negl Trop Dis. 2011;5(12):1–7. </w:t>
      </w:r>
    </w:p>
    <w:p w14:paraId="7D4AAB43" w14:textId="77777777" w:rsidR="00D87616" w:rsidRPr="00D87616" w:rsidRDefault="00D87616" w:rsidP="00D87616">
      <w:pPr>
        <w:widowControl w:val="0"/>
        <w:autoSpaceDE w:val="0"/>
        <w:autoSpaceDN w:val="0"/>
        <w:adjustRightInd w:val="0"/>
        <w:spacing w:line="240" w:lineRule="auto"/>
        <w:ind w:left="640" w:hanging="640"/>
        <w:rPr>
          <w:rFonts w:ascii="Calibri" w:hAnsi="Calibri"/>
          <w:noProof/>
          <w:sz w:val="18"/>
          <w:szCs w:val="24"/>
        </w:rPr>
      </w:pPr>
      <w:r w:rsidRPr="00D87616">
        <w:rPr>
          <w:rFonts w:ascii="Calibri" w:hAnsi="Calibri"/>
          <w:noProof/>
          <w:sz w:val="18"/>
          <w:szCs w:val="24"/>
        </w:rPr>
        <w:t xml:space="preserve">9. </w:t>
      </w:r>
      <w:r w:rsidRPr="00D87616">
        <w:rPr>
          <w:rFonts w:ascii="Calibri" w:hAnsi="Calibri"/>
          <w:noProof/>
          <w:sz w:val="18"/>
          <w:szCs w:val="24"/>
        </w:rPr>
        <w:tab/>
        <w:t xml:space="preserve">Thakur CP, Kumar A, Kumar A, Sinha K, Thakur S. A new method of kala-azar elimination : shifting the reservoir of infection from that village. Glob Adv Res J Med Med Sci. 2013;2(7):163–76. </w:t>
      </w:r>
    </w:p>
    <w:p w14:paraId="34991B02" w14:textId="77777777" w:rsidR="00D87616" w:rsidRPr="00D87616" w:rsidRDefault="00D87616" w:rsidP="00D87616">
      <w:pPr>
        <w:widowControl w:val="0"/>
        <w:autoSpaceDE w:val="0"/>
        <w:autoSpaceDN w:val="0"/>
        <w:adjustRightInd w:val="0"/>
        <w:spacing w:line="240" w:lineRule="auto"/>
        <w:ind w:left="640" w:hanging="640"/>
        <w:rPr>
          <w:rFonts w:ascii="Calibri" w:hAnsi="Calibri"/>
          <w:noProof/>
          <w:sz w:val="18"/>
        </w:rPr>
      </w:pPr>
      <w:r w:rsidRPr="00D87616">
        <w:rPr>
          <w:rFonts w:ascii="Calibri" w:hAnsi="Calibri"/>
          <w:noProof/>
          <w:sz w:val="18"/>
          <w:szCs w:val="24"/>
        </w:rPr>
        <w:t xml:space="preserve">10. </w:t>
      </w:r>
      <w:r w:rsidRPr="00D87616">
        <w:rPr>
          <w:rFonts w:ascii="Calibri" w:hAnsi="Calibri"/>
          <w:noProof/>
          <w:sz w:val="18"/>
          <w:szCs w:val="24"/>
        </w:rPr>
        <w:tab/>
        <w:t xml:space="preserve">Independent Commission on Development &amp; Health in India. Elimination of Kala-Azar. 2014; </w:t>
      </w:r>
    </w:p>
    <w:p w14:paraId="0A7303D4" w14:textId="025F418C" w:rsidR="0086786C" w:rsidRPr="007F158D" w:rsidRDefault="0086786C" w:rsidP="00D87616">
      <w:pPr>
        <w:widowControl w:val="0"/>
        <w:autoSpaceDE w:val="0"/>
        <w:autoSpaceDN w:val="0"/>
        <w:adjustRightInd w:val="0"/>
        <w:spacing w:line="240" w:lineRule="auto"/>
        <w:ind w:left="640" w:hanging="640"/>
        <w:rPr>
          <w:rFonts w:asciiTheme="majorHAnsi" w:hAnsiTheme="majorHAnsi"/>
        </w:rPr>
      </w:pPr>
      <w:r w:rsidRPr="007F158D">
        <w:rPr>
          <w:rFonts w:asciiTheme="majorHAnsi" w:hAnsiTheme="majorHAnsi"/>
          <w:sz w:val="18"/>
          <w:szCs w:val="18"/>
        </w:rPr>
        <w:fldChar w:fldCharType="end"/>
      </w:r>
    </w:p>
    <w:sectPr w:rsidR="0086786C" w:rsidRPr="007F158D" w:rsidSect="005B609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32A08"/>
    <w:multiLevelType w:val="hybridMultilevel"/>
    <w:tmpl w:val="177C3FE8"/>
    <w:lvl w:ilvl="0" w:tplc="88882FEE">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4E"/>
    <w:rsid w:val="00012CFB"/>
    <w:rsid w:val="00022395"/>
    <w:rsid w:val="00032CD7"/>
    <w:rsid w:val="0006262E"/>
    <w:rsid w:val="00066600"/>
    <w:rsid w:val="000872C1"/>
    <w:rsid w:val="000A2073"/>
    <w:rsid w:val="000E19E6"/>
    <w:rsid w:val="001179FE"/>
    <w:rsid w:val="00136333"/>
    <w:rsid w:val="00137906"/>
    <w:rsid w:val="0015006D"/>
    <w:rsid w:val="00165C1C"/>
    <w:rsid w:val="00180BEF"/>
    <w:rsid w:val="001B4F33"/>
    <w:rsid w:val="001C1AAD"/>
    <w:rsid w:val="001F392D"/>
    <w:rsid w:val="00212E4E"/>
    <w:rsid w:val="00286AFD"/>
    <w:rsid w:val="002930E6"/>
    <w:rsid w:val="002C2D97"/>
    <w:rsid w:val="002D4002"/>
    <w:rsid w:val="002E43DE"/>
    <w:rsid w:val="002F6E3B"/>
    <w:rsid w:val="00344A73"/>
    <w:rsid w:val="0037038F"/>
    <w:rsid w:val="004D6EF5"/>
    <w:rsid w:val="004E22CD"/>
    <w:rsid w:val="004F5864"/>
    <w:rsid w:val="005520B9"/>
    <w:rsid w:val="005B609F"/>
    <w:rsid w:val="00670D09"/>
    <w:rsid w:val="006753DF"/>
    <w:rsid w:val="006948B1"/>
    <w:rsid w:val="006A6D61"/>
    <w:rsid w:val="006C0D68"/>
    <w:rsid w:val="006C1006"/>
    <w:rsid w:val="0075430B"/>
    <w:rsid w:val="00777C3D"/>
    <w:rsid w:val="00796B17"/>
    <w:rsid w:val="00797A32"/>
    <w:rsid w:val="007D335B"/>
    <w:rsid w:val="007F158D"/>
    <w:rsid w:val="008526C3"/>
    <w:rsid w:val="00853D1E"/>
    <w:rsid w:val="0086786C"/>
    <w:rsid w:val="008A7A9E"/>
    <w:rsid w:val="009109F3"/>
    <w:rsid w:val="00926998"/>
    <w:rsid w:val="00936FEA"/>
    <w:rsid w:val="00960BE8"/>
    <w:rsid w:val="00974CA0"/>
    <w:rsid w:val="009A0CA2"/>
    <w:rsid w:val="009A27E4"/>
    <w:rsid w:val="009A6BCE"/>
    <w:rsid w:val="009B075B"/>
    <w:rsid w:val="009E7A73"/>
    <w:rsid w:val="00A84BB4"/>
    <w:rsid w:val="00A91279"/>
    <w:rsid w:val="00A97751"/>
    <w:rsid w:val="00AB5B1B"/>
    <w:rsid w:val="00AD04DF"/>
    <w:rsid w:val="00B442EA"/>
    <w:rsid w:val="00B77B0D"/>
    <w:rsid w:val="00B9623E"/>
    <w:rsid w:val="00BB2174"/>
    <w:rsid w:val="00BB390E"/>
    <w:rsid w:val="00BD1853"/>
    <w:rsid w:val="00BF1A9B"/>
    <w:rsid w:val="00BF76A4"/>
    <w:rsid w:val="00C31D5E"/>
    <w:rsid w:val="00C35AE5"/>
    <w:rsid w:val="00C44650"/>
    <w:rsid w:val="00C47BEA"/>
    <w:rsid w:val="00C608C7"/>
    <w:rsid w:val="00C95FFA"/>
    <w:rsid w:val="00CA7F74"/>
    <w:rsid w:val="00CE0226"/>
    <w:rsid w:val="00CF29E8"/>
    <w:rsid w:val="00CF55FD"/>
    <w:rsid w:val="00D05363"/>
    <w:rsid w:val="00D07DBC"/>
    <w:rsid w:val="00D12D22"/>
    <w:rsid w:val="00D3759A"/>
    <w:rsid w:val="00D87616"/>
    <w:rsid w:val="00D87C4C"/>
    <w:rsid w:val="00DE240D"/>
    <w:rsid w:val="00E067A0"/>
    <w:rsid w:val="00E139CC"/>
    <w:rsid w:val="00E13F56"/>
    <w:rsid w:val="00E60503"/>
    <w:rsid w:val="00E83EA4"/>
    <w:rsid w:val="00E925BC"/>
    <w:rsid w:val="00EA19EA"/>
    <w:rsid w:val="00EA3C1D"/>
    <w:rsid w:val="00EC5DCF"/>
    <w:rsid w:val="00FA2248"/>
    <w:rsid w:val="00FB4E90"/>
    <w:rsid w:val="00FC02E7"/>
    <w:rsid w:val="00FC5886"/>
    <w:rsid w:val="00FF73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7C28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3B"/>
    <w:pPr>
      <w:spacing w:line="276" w:lineRule="auto"/>
    </w:pPr>
    <w:rPr>
      <w:rFonts w:ascii="Arial" w:eastAsia="Arial" w:hAnsi="Arial" w:cs="Arial"/>
      <w:color w:val="00000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2E4E"/>
    <w:pPr>
      <w:spacing w:line="276" w:lineRule="auto"/>
    </w:pPr>
    <w:rPr>
      <w:rFonts w:ascii="Arial" w:eastAsia="Arial" w:hAnsi="Arial" w:cs="Arial"/>
      <w:color w:val="000000"/>
      <w:sz w:val="22"/>
      <w:szCs w:val="22"/>
      <w:lang w:val="en-US"/>
    </w:rPr>
  </w:style>
  <w:style w:type="paragraph" w:styleId="BalloonText">
    <w:name w:val="Balloon Text"/>
    <w:basedOn w:val="Normal"/>
    <w:link w:val="BalloonTextChar"/>
    <w:uiPriority w:val="99"/>
    <w:semiHidden/>
    <w:unhideWhenUsed/>
    <w:rsid w:val="00C95FFA"/>
    <w:pPr>
      <w:spacing w:line="240" w:lineRule="auto"/>
    </w:pPr>
    <w:rPr>
      <w:rFonts w:ascii="lucida Grande" w:eastAsiaTheme="minorEastAsia" w:hAnsi="lucida Grande" w:cs="lucida Grande"/>
      <w:color w:val="auto"/>
      <w:sz w:val="18"/>
      <w:szCs w:val="18"/>
      <w:lang w:val="en-GB"/>
    </w:rPr>
  </w:style>
  <w:style w:type="character" w:customStyle="1" w:styleId="BalloonTextChar">
    <w:name w:val="Balloon Text Char"/>
    <w:basedOn w:val="DefaultParagraphFont"/>
    <w:link w:val="BalloonText"/>
    <w:uiPriority w:val="99"/>
    <w:semiHidden/>
    <w:rsid w:val="00C95FFA"/>
    <w:rPr>
      <w:rFonts w:ascii="lucida Grande" w:hAnsi="lucida Grande" w:cs="lucida Grande"/>
      <w:sz w:val="18"/>
      <w:szCs w:val="18"/>
    </w:rPr>
  </w:style>
  <w:style w:type="paragraph" w:styleId="Caption">
    <w:name w:val="caption"/>
    <w:basedOn w:val="Normal"/>
    <w:next w:val="Normal"/>
    <w:uiPriority w:val="35"/>
    <w:unhideWhenUsed/>
    <w:qFormat/>
    <w:rsid w:val="002F6E3B"/>
    <w:pPr>
      <w:keepNext/>
      <w:spacing w:after="200" w:line="240" w:lineRule="auto"/>
    </w:pPr>
    <w:rPr>
      <w:rFonts w:asciiTheme="minorHAnsi" w:eastAsiaTheme="minorEastAsia" w:hAnsiTheme="minorHAnsi" w:cstheme="minorBidi"/>
      <w:b/>
      <w:bCs/>
      <w:color w:val="4F81BD" w:themeColor="accent1"/>
      <w:sz w:val="18"/>
      <w:szCs w:val="18"/>
    </w:rPr>
  </w:style>
  <w:style w:type="table" w:styleId="LightShading">
    <w:name w:val="Light Shading"/>
    <w:basedOn w:val="TableNormal"/>
    <w:uiPriority w:val="60"/>
    <w:rsid w:val="0075430B"/>
    <w:rPr>
      <w:rFonts w:ascii="Arial" w:eastAsia="Arial" w:hAnsi="Arial" w:cs="Arial"/>
      <w:color w:val="000000" w:themeColor="text1" w:themeShade="BF"/>
      <w:sz w:val="22"/>
      <w:szCs w:val="22"/>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F29E8"/>
    <w:rPr>
      <w:sz w:val="18"/>
      <w:szCs w:val="18"/>
    </w:rPr>
  </w:style>
  <w:style w:type="paragraph" w:styleId="CommentText">
    <w:name w:val="annotation text"/>
    <w:basedOn w:val="Normal"/>
    <w:link w:val="CommentTextChar"/>
    <w:uiPriority w:val="99"/>
    <w:semiHidden/>
    <w:unhideWhenUsed/>
    <w:rsid w:val="00CF29E8"/>
    <w:pPr>
      <w:spacing w:line="240" w:lineRule="auto"/>
    </w:pPr>
    <w:rPr>
      <w:sz w:val="24"/>
      <w:szCs w:val="24"/>
    </w:rPr>
  </w:style>
  <w:style w:type="character" w:customStyle="1" w:styleId="CommentTextChar">
    <w:name w:val="Comment Text Char"/>
    <w:basedOn w:val="DefaultParagraphFont"/>
    <w:link w:val="CommentText"/>
    <w:uiPriority w:val="99"/>
    <w:semiHidden/>
    <w:rsid w:val="00CF29E8"/>
    <w:rPr>
      <w:rFonts w:ascii="Arial" w:eastAsia="Arial" w:hAnsi="Arial" w:cs="Arial"/>
      <w:color w:val="000000"/>
      <w:lang w:val="en-US"/>
    </w:rPr>
  </w:style>
  <w:style w:type="paragraph" w:styleId="CommentSubject">
    <w:name w:val="annotation subject"/>
    <w:basedOn w:val="CommentText"/>
    <w:next w:val="CommentText"/>
    <w:link w:val="CommentSubjectChar"/>
    <w:uiPriority w:val="99"/>
    <w:semiHidden/>
    <w:unhideWhenUsed/>
    <w:rsid w:val="00CF29E8"/>
    <w:rPr>
      <w:b/>
      <w:bCs/>
      <w:sz w:val="20"/>
      <w:szCs w:val="20"/>
    </w:rPr>
  </w:style>
  <w:style w:type="character" w:customStyle="1" w:styleId="CommentSubjectChar">
    <w:name w:val="Comment Subject Char"/>
    <w:basedOn w:val="CommentTextChar"/>
    <w:link w:val="CommentSubject"/>
    <w:uiPriority w:val="99"/>
    <w:semiHidden/>
    <w:rsid w:val="00CF29E8"/>
    <w:rPr>
      <w:rFonts w:ascii="Arial" w:eastAsia="Arial" w:hAnsi="Arial" w:cs="Arial"/>
      <w:b/>
      <w:bCs/>
      <w:color w:val="000000"/>
      <w:sz w:val="20"/>
      <w:szCs w:val="20"/>
      <w:lang w:val="en-US"/>
    </w:rPr>
  </w:style>
  <w:style w:type="paragraph" w:styleId="Revision">
    <w:name w:val="Revision"/>
    <w:hidden/>
    <w:uiPriority w:val="99"/>
    <w:semiHidden/>
    <w:rsid w:val="00180BEF"/>
    <w:rPr>
      <w:rFonts w:ascii="Arial" w:eastAsia="Arial" w:hAnsi="Arial" w:cs="Arial"/>
      <w:color w:val="000000"/>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3B"/>
    <w:pPr>
      <w:spacing w:line="276" w:lineRule="auto"/>
    </w:pPr>
    <w:rPr>
      <w:rFonts w:ascii="Arial" w:eastAsia="Arial" w:hAnsi="Arial" w:cs="Arial"/>
      <w:color w:val="00000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2E4E"/>
    <w:pPr>
      <w:spacing w:line="276" w:lineRule="auto"/>
    </w:pPr>
    <w:rPr>
      <w:rFonts w:ascii="Arial" w:eastAsia="Arial" w:hAnsi="Arial" w:cs="Arial"/>
      <w:color w:val="000000"/>
      <w:sz w:val="22"/>
      <w:szCs w:val="22"/>
      <w:lang w:val="en-US"/>
    </w:rPr>
  </w:style>
  <w:style w:type="paragraph" w:styleId="BalloonText">
    <w:name w:val="Balloon Text"/>
    <w:basedOn w:val="Normal"/>
    <w:link w:val="BalloonTextChar"/>
    <w:uiPriority w:val="99"/>
    <w:semiHidden/>
    <w:unhideWhenUsed/>
    <w:rsid w:val="00C95FFA"/>
    <w:pPr>
      <w:spacing w:line="240" w:lineRule="auto"/>
    </w:pPr>
    <w:rPr>
      <w:rFonts w:ascii="lucida Grande" w:eastAsiaTheme="minorEastAsia" w:hAnsi="lucida Grande" w:cs="lucida Grande"/>
      <w:color w:val="auto"/>
      <w:sz w:val="18"/>
      <w:szCs w:val="18"/>
      <w:lang w:val="en-GB"/>
    </w:rPr>
  </w:style>
  <w:style w:type="character" w:customStyle="1" w:styleId="BalloonTextChar">
    <w:name w:val="Balloon Text Char"/>
    <w:basedOn w:val="DefaultParagraphFont"/>
    <w:link w:val="BalloonText"/>
    <w:uiPriority w:val="99"/>
    <w:semiHidden/>
    <w:rsid w:val="00C95FFA"/>
    <w:rPr>
      <w:rFonts w:ascii="lucida Grande" w:hAnsi="lucida Grande" w:cs="lucida Grande"/>
      <w:sz w:val="18"/>
      <w:szCs w:val="18"/>
    </w:rPr>
  </w:style>
  <w:style w:type="paragraph" w:styleId="Caption">
    <w:name w:val="caption"/>
    <w:basedOn w:val="Normal"/>
    <w:next w:val="Normal"/>
    <w:uiPriority w:val="35"/>
    <w:unhideWhenUsed/>
    <w:qFormat/>
    <w:rsid w:val="002F6E3B"/>
    <w:pPr>
      <w:keepNext/>
      <w:spacing w:after="200" w:line="240" w:lineRule="auto"/>
    </w:pPr>
    <w:rPr>
      <w:rFonts w:asciiTheme="minorHAnsi" w:eastAsiaTheme="minorEastAsia" w:hAnsiTheme="minorHAnsi" w:cstheme="minorBidi"/>
      <w:b/>
      <w:bCs/>
      <w:color w:val="4F81BD" w:themeColor="accent1"/>
      <w:sz w:val="18"/>
      <w:szCs w:val="18"/>
    </w:rPr>
  </w:style>
  <w:style w:type="table" w:styleId="LightShading">
    <w:name w:val="Light Shading"/>
    <w:basedOn w:val="TableNormal"/>
    <w:uiPriority w:val="60"/>
    <w:rsid w:val="0075430B"/>
    <w:rPr>
      <w:rFonts w:ascii="Arial" w:eastAsia="Arial" w:hAnsi="Arial" w:cs="Arial"/>
      <w:color w:val="000000" w:themeColor="text1" w:themeShade="BF"/>
      <w:sz w:val="22"/>
      <w:szCs w:val="22"/>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F29E8"/>
    <w:rPr>
      <w:sz w:val="18"/>
      <w:szCs w:val="18"/>
    </w:rPr>
  </w:style>
  <w:style w:type="paragraph" w:styleId="CommentText">
    <w:name w:val="annotation text"/>
    <w:basedOn w:val="Normal"/>
    <w:link w:val="CommentTextChar"/>
    <w:uiPriority w:val="99"/>
    <w:semiHidden/>
    <w:unhideWhenUsed/>
    <w:rsid w:val="00CF29E8"/>
    <w:pPr>
      <w:spacing w:line="240" w:lineRule="auto"/>
    </w:pPr>
    <w:rPr>
      <w:sz w:val="24"/>
      <w:szCs w:val="24"/>
    </w:rPr>
  </w:style>
  <w:style w:type="character" w:customStyle="1" w:styleId="CommentTextChar">
    <w:name w:val="Comment Text Char"/>
    <w:basedOn w:val="DefaultParagraphFont"/>
    <w:link w:val="CommentText"/>
    <w:uiPriority w:val="99"/>
    <w:semiHidden/>
    <w:rsid w:val="00CF29E8"/>
    <w:rPr>
      <w:rFonts w:ascii="Arial" w:eastAsia="Arial" w:hAnsi="Arial" w:cs="Arial"/>
      <w:color w:val="000000"/>
      <w:lang w:val="en-US"/>
    </w:rPr>
  </w:style>
  <w:style w:type="paragraph" w:styleId="CommentSubject">
    <w:name w:val="annotation subject"/>
    <w:basedOn w:val="CommentText"/>
    <w:next w:val="CommentText"/>
    <w:link w:val="CommentSubjectChar"/>
    <w:uiPriority w:val="99"/>
    <w:semiHidden/>
    <w:unhideWhenUsed/>
    <w:rsid w:val="00CF29E8"/>
    <w:rPr>
      <w:b/>
      <w:bCs/>
      <w:sz w:val="20"/>
      <w:szCs w:val="20"/>
    </w:rPr>
  </w:style>
  <w:style w:type="character" w:customStyle="1" w:styleId="CommentSubjectChar">
    <w:name w:val="Comment Subject Char"/>
    <w:basedOn w:val="CommentTextChar"/>
    <w:link w:val="CommentSubject"/>
    <w:uiPriority w:val="99"/>
    <w:semiHidden/>
    <w:rsid w:val="00CF29E8"/>
    <w:rPr>
      <w:rFonts w:ascii="Arial" w:eastAsia="Arial" w:hAnsi="Arial" w:cs="Arial"/>
      <w:b/>
      <w:bCs/>
      <w:color w:val="000000"/>
      <w:sz w:val="20"/>
      <w:szCs w:val="20"/>
      <w:lang w:val="en-US"/>
    </w:rPr>
  </w:style>
  <w:style w:type="paragraph" w:styleId="Revision">
    <w:name w:val="Revision"/>
    <w:hidden/>
    <w:uiPriority w:val="99"/>
    <w:semiHidden/>
    <w:rsid w:val="00180BEF"/>
    <w:rPr>
      <w:rFonts w:ascii="Arial" w:eastAsia="Arial" w:hAnsi="Arial" w:cs="Arial"/>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939CD-374E-AE40-AEC2-76DCB0CC3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5773</Words>
  <Characters>32912</Characters>
  <Application>Microsoft Macintosh Word</Application>
  <DocSecurity>0</DocSecurity>
  <Lines>274</Lines>
  <Paragraphs>77</Paragraphs>
  <ScaleCrop>false</ScaleCrop>
  <Manager/>
  <Company/>
  <LinksUpToDate>false</LinksUpToDate>
  <CharactersWithSpaces>38608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 MAC 2</cp:lastModifiedBy>
  <cp:revision>2</cp:revision>
  <dcterms:created xsi:type="dcterms:W3CDTF">2017-01-21T04:22:00Z</dcterms:created>
  <dcterms:modified xsi:type="dcterms:W3CDTF">2017-01-21T04:22:00Z</dcterms:modified>
</cp:coreProperties>
</file>